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2"/>
      </w:pPr>
      <w:r>
        <w:rPr>
          <w:lang w:val="es_ES" w:bidi="es_ES"/>
        </w:rPr>
        <w:t>Ambientación</w:t>
      </w:r>
    </w:p>
    <w:p>
      <w:pPr/>
      <w:r>
        <w:rPr>
          <w:lang w:val="es_ES" w:bidi="es_ES"/>
        </w:rPr>
      </w:r>
      <w:r>
        <w:rPr>
          <w:lang w:val="es_ES" w:bidi="es_ES"/>
        </w:rPr>
        <w:t xml:space="preserve">El contexto de 2 Juan es similar al de 1 Juan (ver </w:t>
      </w:r>
      <w:r>
        <w:rPr>
          <w:lang w:val="es_ES" w:bidi="es_ES"/>
        </w:rPr>
        <w:t>Introducción al Libro de 1 Juan, “Ambientación”</w:t>
      </w:r>
      <w:r>
        <w:rPr>
          <w:lang w:val="es_ES" w:bidi="es_ES"/>
        </w:rP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2"/>
      </w:pPr>
      <w:r>
        <w:rPr>
          <w:lang w:val="es_ES" w:bidi="es_ES"/>
        </w:rPr>
        <w:t>Resumen</w:t>
      </w:r>
    </w:p>
    <w:p>
      <w:pPr/>
      <w:r>
        <w:rPr>
          <w:lang w:val="es_ES" w:bidi="es_ES"/>
        </w:rPr>
      </w:r>
      <w:r>
        <w:rPr>
          <w:lang w:val="es_ES" w:bidi="es_ES"/>
        </w:rPr>
        <w:t>Esta carta personal comienza con un saludo (</w:t>
      </w:r>
      <w:hyperlink r:id="rId13">
        <w:r>
          <w:rPr>
            <w:lang w:val="es_ES" w:bidi="es_ES"/>
          </w:rPr>
          <w:rPr>
            <w:color w:val="0000EE"/>
            <w:u w:val="single"/>
          </w:rPr>
          <w:t>1:1–3</w:t>
        </w:r>
      </w:hyperlink>
      <w:r>
        <w:rPr>
          <w:lang w:val="es_ES" w:bidi="es_ES"/>
        </w:rPr>
        <w:t>) y luego expresa los deseos del autor (</w:t>
      </w:r>
      <w:hyperlink r:id="rId14">
        <w:r>
          <w:rPr>
            <w:lang w:val="es_ES" w:bidi="es_ES"/>
          </w:rPr>
          <w:rPr>
            <w:color w:val="0000EE"/>
            <w:u w:val="single"/>
          </w:rPr>
          <w:t>1:4–11</w:t>
        </w:r>
      </w:hyperlink>
      <w:r>
        <w:rPr>
          <w:lang w:val="es_ES" w:bidi="es_ES"/>
        </w:rP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2"/>
      </w:pPr>
      <w:r>
        <w:rPr>
          <w:lang w:val="es_ES" w:bidi="es_ES"/>
        </w:rPr>
        <w:t>Autoría</w:t>
      </w:r>
    </w:p>
    <w:p>
      <w:pPr/>
      <w:r>
        <w:rPr>
          <w:lang w:val="es_ES" w:bidi="es_ES"/>
        </w:rPr>
      </w:r>
      <w:r>
        <w:rPr>
          <w:lang w:val="es_ES" w:bidi="es_ES"/>
        </w:rPr>
        <w:t>Algunos estudiosos han considerado que el Juan que escribió esta carta (</w:t>
      </w:r>
      <w:hyperlink r:id="rId15">
        <w:r>
          <w:rPr>
            <w:lang w:val="es_ES" w:bidi="es_ES"/>
          </w:rPr>
          <w:rPr>
            <w:color w:val="0000EE"/>
            <w:u w:val="single"/>
          </w:rPr>
          <w:t>1:1</w:t>
        </w:r>
      </w:hyperlink>
      <w:r>
        <w:rPr>
          <w:lang w:val="es_ES" w:bidi="es_ES"/>
        </w:rPr>
        <w:t xml:space="preserve">) era diferente del apóstol, pero hay razones de peso para concluir que fue Juan el apóstol quien escribió estas cartas (ver </w:t>
      </w:r>
      <w:r>
        <w:rPr>
          <w:lang w:val="es_ES" w:bidi="es_ES"/>
        </w:rPr>
        <w:t>Introducción al Libro de 1 Juan</w:t>
      </w:r>
      <w:r>
        <w:rPr>
          <w:lang w:val="es_ES" w:bidi="es_ES"/>
        </w:rPr>
        <w:t>, “Autoría”).</w:t>
      </w:r>
    </w:p>
    <w:p>
      <w:pPr>
        <w:pStyle w:val="Heading2"/>
      </w:pPr>
      <w:r>
        <w:rPr>
          <w:lang w:val="es_ES" w:bidi="es_ES"/>
        </w:rPr>
        <w:t>Destinatarios</w:t>
      </w:r>
    </w:p>
    <w:p>
      <w:pPr/>
      <w:r>
        <w:rPr>
          <w:lang w:val="es_ES" w:bidi="es_ES"/>
        </w:rPr>
      </w:r>
      <w:r>
        <w:rPr>
          <w:lang w:val="es_ES" w:bidi="es_ES"/>
        </w:rPr>
        <w:t>Los destinatarios de 2 Juan fueron identificados como una “señora elegida y... sus hijos” (</w:t>
      </w:r>
      <w:hyperlink r:id="rId15">
        <w:r>
          <w:rPr>
            <w:lang w:val="es_ES" w:bidi="es_ES"/>
          </w:rPr>
          <w:rPr>
            <w:color w:val="0000EE"/>
            <w:u w:val="single"/>
          </w:rPr>
          <w:t>1:1</w:t>
        </w:r>
      </w:hyperlink>
      <w:r>
        <w:rPr>
          <w:lang w:val="es_ES" w:bidi="es_ES"/>
        </w:rPr>
        <w:t xml:space="preserve">). Esto podría referirse a una mujer específica llamada Kyria y a sus hijos biológicos (la palabra griega </w:t>
      </w:r>
      <w:r>
        <w:rPr>
          <w:i/>
          <w:lang w:val="es_ES" w:bidi="es_ES"/>
        </w:rPr>
        <w:t>kyria</w:t>
      </w:r>
      <w:r>
        <w:rPr>
          <w:lang w:val="es_ES" w:bidi="es_ES"/>
        </w:rPr>
        <w:t xml:space="preserve">, “señora”, puede ser un nombre propio). Sin embargo, es probable que Juan estuviera hablando de una iglesia local en particular (“la señora elegida”) y de sus miembros individuales (“sus hijos”, cp. </w:t>
      </w:r>
      <w:hyperlink r:id="rId16">
        <w:r>
          <w:rPr>
            <w:lang w:val="es_ES" w:bidi="es_ES"/>
          </w:rPr>
          <w:rPr>
            <w:color w:val="0000EE"/>
            <w:u w:val="single"/>
          </w:rPr>
          <w:t>1 Pe 5:13</w:t>
        </w:r>
      </w:hyperlink>
      <w:r>
        <w:rPr>
          <w:lang w:val="es_ES" w:bidi="es_ES"/>
        </w:rPr>
        <w:t>). Si es así, 2 Juan probablemente fue enviada a una de las iglesias bajo el cuidado de Juan en Asia Menor.</w:t>
      </w:r>
    </w:p>
    <w:p>
      <w:pPr>
        <w:pStyle w:val="Heading2"/>
      </w:pPr>
      <w:r>
        <w:rPr>
          <w:lang w:val="es_ES" w:bidi="es_ES"/>
        </w:rPr>
        <w:t>Significado y Mensaje</w:t>
      </w:r>
    </w:p>
    <w:p>
      <w:pPr/>
      <w:r>
        <w:rPr>
          <w:lang w:val="es_ES" w:bidi="es_ES"/>
        </w:rPr>
      </w:r>
      <w:r>
        <w:rPr>
          <w:lang w:val="es_ES" w:bidi="es_ES"/>
        </w:rPr>
        <w:t>El mensaje de 2 Juan es doble. Primero, los miembros de la comunidad cristiana deben amarse mutuamente (</w:t>
      </w:r>
      <w:hyperlink r:id="rId17">
        <w:r>
          <w:rPr>
            <w:lang w:val="es_ES" w:bidi="es_ES"/>
          </w:rPr>
          <w:rPr>
            <w:color w:val="0000EE"/>
            <w:u w:val="single"/>
          </w:rPr>
          <w:t>1:5</w:t>
        </w:r>
      </w:hyperlink>
      <w:r>
        <w:rPr>
          <w:lang w:val="es_ES" w:bidi="es_ES"/>
        </w:rPr>
        <w:t>). La manifestación de este amor se refleja en seguir los mandamientos de Jesús (</w:t>
      </w:r>
      <w:hyperlink r:id="rId18">
        <w:r>
          <w:rPr>
            <w:lang w:val="es_ES" w:bidi="es_ES"/>
          </w:rPr>
          <w:rPr>
            <w:color w:val="0000EE"/>
            <w:u w:val="single"/>
          </w:rPr>
          <w:t>1:6</w:t>
        </w:r>
      </w:hyperlink>
      <w:r>
        <w:rPr>
          <w:lang w:val="es_ES" w:bidi="es_ES"/>
        </w:rPr>
        <w:t>). Segundo, Juan advierte a la iglesia sobre los falsos maestros, quienes deben ser expuestos, evitados y rechazados.</w:t>
      </w:r>
    </w:p>
    <w:p>
      <w:pPr/>
      <w:r>
        <w:rPr>
          <w:lang w:val="es_ES" w:bidi="es_ES"/>
        </w:rPr>
      </w:r>
      <w:r>
        <w:rPr>
          <w:lang w:val="es_ES" w:bidi="es_ES"/>
        </w:rPr>
        <w:t>Muchas de las Epístolas del Nuevo Testamento fueron escritas, al menos en parte, para abordar alguna forma de enseñanza herética. Esto es cierto para varias de las cartas de Pablo: Gálatas (</w:t>
      </w:r>
      <w:hyperlink r:id="rId19">
        <w:r>
          <w:rPr>
            <w:lang w:val="es_ES" w:bidi="es_ES"/>
          </w:rPr>
          <w:rPr>
            <w:color w:val="0000EE"/>
            <w:u w:val="single"/>
          </w:rPr>
          <w:t>Ga 1:6</w:t>
        </w:r>
      </w:hyperlink>
      <w:r>
        <w:rPr>
          <w:lang w:val="es_ES" w:bidi="es_ES"/>
        </w:rPr>
        <w:t>), Colosenses (</w:t>
      </w:r>
      <w:hyperlink r:id="rId20">
        <w:r>
          <w:rPr>
            <w:lang w:val="es_ES" w:bidi="es_ES"/>
          </w:rPr>
          <w:rPr>
            <w:color w:val="0000EE"/>
            <w:u w:val="single"/>
          </w:rPr>
          <w:t>Col 2:16–23</w:t>
        </w:r>
      </w:hyperlink>
      <w:r>
        <w:rPr>
          <w:lang w:val="es_ES" w:bidi="es_ES"/>
        </w:rPr>
        <w:t>), 2 Tesalonicenses (</w:t>
      </w:r>
      <w:hyperlink r:id="rId21">
        <w:r>
          <w:rPr>
            <w:lang w:val="es_ES" w:bidi="es_ES"/>
          </w:rPr>
          <w:rPr>
            <w:color w:val="0000EE"/>
            <w:u w:val="single"/>
          </w:rPr>
          <w:t>2 Ts 2:1–3</w:t>
        </w:r>
      </w:hyperlink>
      <w:r>
        <w:rPr>
          <w:lang w:val="es_ES" w:bidi="es_ES"/>
        </w:rPr>
        <w:t>) y 1 Timoteo (</w:t>
      </w:r>
      <w:hyperlink r:id="rId22">
        <w:r>
          <w:rPr>
            <w:lang w:val="es_ES" w:bidi="es_ES"/>
          </w:rPr>
          <w:rPr>
            <w:color w:val="0000EE"/>
            <w:u w:val="single"/>
          </w:rPr>
          <w:t>1 Tm 4:1,</w:t>
        </w:r>
      </w:hyperlink>
      <w:r>
        <w:rPr>
          <w:lang w:val="es_ES" w:bidi="es_ES"/>
        </w:rPr>
        <w:t xml:space="preserve"> </w:t>
      </w:r>
      <w:hyperlink r:id="rId23">
        <w:r>
          <w:rPr>
            <w:lang w:val="es_ES" w:bidi="es_ES"/>
          </w:rPr>
          <w:rPr>
            <w:color w:val="0000EE"/>
            <w:u w:val="single"/>
          </w:rPr>
          <w:t>6:20–21</w:t>
        </w:r>
      </w:hyperlink>
      <w:r>
        <w:rPr>
          <w:lang w:val="es_ES" w:bidi="es_ES"/>
        </w:rPr>
        <w:t>). Pedro escribió su segunda carta para contrarrestar a los falsos maestros (</w:t>
      </w:r>
      <w:hyperlink r:id="rId24">
        <w:r>
          <w:rPr>
            <w:lang w:val="es_ES" w:bidi="es_ES"/>
          </w:rPr>
          <w:rPr>
            <w:color w:val="0000EE"/>
            <w:u w:val="single"/>
          </w:rPr>
          <w:t>2 Pe 2:1–22</w:t>
        </w:r>
      </w:hyperlink>
      <w:r>
        <w:rPr>
          <w:lang w:val="es_ES" w:bidi="es_ES"/>
        </w:rPr>
        <w:t>), y Judas escribió su carta por la misma razón (</w:t>
      </w:r>
      <w:hyperlink r:id="rId25">
        <w:r>
          <w:rPr>
            <w:lang w:val="es_ES" w:bidi="es_ES"/>
          </w:rPr>
          <w:rPr>
            <w:color w:val="0000EE"/>
            <w:u w:val="single"/>
          </w:rPr>
          <w:t>Judas 1:3–4</w:t>
        </w:r>
      </w:hyperlink>
      <w:r>
        <w:rPr>
          <w:lang w:val="es_ES" w:bidi="es_ES"/>
        </w:rPr>
        <w:t>). Las cartas de Juan, asimismo, fueron escritas como antídotos a los efectos nocivos de las falsas enseñanzas, como el Gnosticismo y el Docetismo, que estaban afectando a muchas de las primeras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