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i/>
          <w:lang w:val="ar_AE" w:bidi="ar_AE"/>
        </w:rPr>
        <w:t>سِفر اللاويين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lang w:val="ar_AE" w:bidi="ar_AE"/>
        </w:rPr>
        <w:t>أَنَا ٱلرَّبُّ إِلَهُكُمْ ... تَكُونُونَ قِدِّيسِينَ، لِأَنِّي أَنَا قُدُّوسٌ</w:t>
      </w:r>
      <w:r>
        <w:rPr>
          <w:lang w:val="ar_AE" w:bidi="ar_AE"/>
        </w:rPr>
        <w:t>" (</w:t>
      </w:r>
      <w:hyperlink r:id="rId15">
        <w:r>
          <w:rPr>
            <w:lang w:val="ar_AE" w:bidi="ar_AE"/>
          </w:rPr>
          <w:rPr>
            <w:color w:val="0000EE"/>
            <w:u w:val="single"/>
          </w:rPr>
          <w:t>لاويين 11: 44–45؛</w:t>
        </w:r>
      </w:hyperlink>
      <w:r>
        <w:rPr>
          <w:lang w:val="ar_AE" w:bidi="ar_AE"/>
        </w:rPr>
        <w:t xml:space="preserve"> </w:t>
      </w:r>
      <w:hyperlink r:id="rId16">
        <w:r>
          <w:rPr>
            <w:lang w:val="ar_AE" w:bidi="ar_AE"/>
          </w:rPr>
          <w:rPr>
            <w:color w:val="0000EE"/>
            <w:u w:val="single"/>
          </w:rPr>
          <w:t>1 بطرس 1: 15–16</w:t>
        </w:r>
      </w:hyperlink>
      <w:r>
        <w:rPr>
          <w:lang w:val="ar_AE" w:bidi="ar_AE"/>
        </w:rPr>
        <w:t>).</w:t>
      </w:r>
    </w:p>
    <w:p>
      <w:pPr>
        <w:pStyle w:val="Heading2"/>
        <w:bidi/>
      </w:pPr>
      <w:r>
        <w:rPr>
          <w:lang w:val="ar_AE" w:bidi="ar_AE"/>
        </w:rPr>
        <w:t>الأحداث وخلفية السِفر</w:t>
      </w:r>
    </w:p>
    <w:p>
      <w:pPr>
        <w:bidi/>
      </w:pPr>
      <w:r>
        <w:rPr>
          <w:lang w:val="ar_AE" w:bidi="ar_AE"/>
        </w:rPr>
      </w:r>
      <w:r>
        <w:rPr>
          <w:lang w:val="ar_AE" w:bidi="ar_AE"/>
        </w:rPr>
        <w:t>يواصل سفر اللاويين سرد قصة الفداء التي بدأت بالوعود التي أعطاها الله لإبراهيم (</w:t>
      </w:r>
      <w:hyperlink r:id="rId17">
        <w:r>
          <w:rPr>
            <w:lang w:val="ar_AE" w:bidi="ar_AE"/>
          </w:rPr>
          <w:rPr>
            <w:color w:val="0000EE"/>
            <w:u w:val="single"/>
          </w:rPr>
          <w:t>تكوين 12</w:t>
        </w:r>
      </w:hyperlink>
      <w:r>
        <w:rPr>
          <w:lang w:val="ar_AE" w:bidi="ar_AE"/>
        </w:rPr>
        <w:t xml:space="preserve">، </w:t>
      </w:r>
      <w:hyperlink r:id="rId18">
        <w:r>
          <w:rPr>
            <w:lang w:val="ar_AE" w:bidi="ar_AE"/>
          </w:rPr>
          <w:rPr>
            <w:color w:val="0000EE"/>
            <w:u w:val="single"/>
          </w:rPr>
          <w:t>15</w:t>
        </w:r>
      </w:hyperlink>
      <w:r>
        <w:rPr>
          <w:lang w:val="ar_AE" w:bidi="ar_AE"/>
        </w:rPr>
        <w:t xml:space="preserve">، </w:t>
      </w:r>
      <w:hyperlink r:id="rId19">
        <w:r>
          <w:rPr>
            <w:lang w:val="ar_AE" w:bidi="ar_AE"/>
          </w:rPr>
          <w:rPr>
            <w:color w:val="0000EE"/>
            <w:u w:val="single"/>
          </w:rPr>
          <w:t>17</w:t>
        </w:r>
      </w:hyperlink>
      <w:r>
        <w:rPr>
          <w:lang w:val="ar_AE" w:bidi="ar_AE"/>
        </w:rPr>
        <w:t>) وتحرير بني إسرائيل من العبودية في مصر (</w:t>
      </w:r>
      <w:hyperlink r:id="rId20">
        <w:r>
          <w:rPr>
            <w:lang w:val="ar_AE" w:bidi="ar_AE"/>
          </w:rPr>
          <w:rPr>
            <w:color w:val="0000EE"/>
            <w:u w:val="single"/>
          </w:rPr>
          <w:t>خروج 1–15</w:t>
        </w:r>
      </w:hyperlink>
      <w:r>
        <w:rPr>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hyperlink r:id="rId21">
        <w:r>
          <w:rPr>
            <w:lang w:val="ar_AE" w:bidi="ar_AE"/>
          </w:rPr>
          <w:rPr>
            <w:color w:val="0000EE"/>
            <w:u w:val="single"/>
          </w:rPr>
          <w:t>خروج 19: 5–6</w:t>
        </w:r>
      </w:hyperlink>
      <w:r>
        <w:rPr>
          <w:lang w:val="ar_AE" w:bidi="ar_AE"/>
        </w:rPr>
        <w:t>). كان شعب إسرائيل قد تلَقَّى الوصايا العشر (</w:t>
      </w:r>
      <w:hyperlink r:id="rId22">
        <w:r>
          <w:rPr>
            <w:lang w:val="ar_AE" w:bidi="ar_AE"/>
          </w:rPr>
          <w:rPr>
            <w:color w:val="0000EE"/>
            <w:u w:val="single"/>
          </w:rPr>
          <w:t>خروج 20: 1–17</w:t>
        </w:r>
      </w:hyperlink>
      <w:r>
        <w:rPr>
          <w:lang w:val="ar_AE" w:bidi="ar_AE"/>
        </w:rPr>
        <w:t>)، ومُخطَّطات المسكن (</w:t>
      </w:r>
      <w:hyperlink r:id="rId23">
        <w:r>
          <w:rPr>
            <w:lang w:val="ar_AE" w:bidi="ar_AE"/>
          </w:rPr>
          <w:rPr>
            <w:color w:val="0000EE"/>
            <w:u w:val="single"/>
          </w:rPr>
          <w:t>خروج 25–27</w:t>
        </w:r>
      </w:hyperlink>
      <w:r>
        <w:rPr>
          <w:lang w:val="ar_AE" w:bidi="ar_AE"/>
        </w:rPr>
        <w:t xml:space="preserve">؛ </w:t>
      </w:r>
      <w:hyperlink r:id="rId24">
        <w:r>
          <w:rPr>
            <w:lang w:val="ar_AE" w:bidi="ar_AE"/>
          </w:rPr>
          <w:rPr>
            <w:color w:val="0000EE"/>
            <w:u w:val="single"/>
          </w:rPr>
          <w:t>30:1–38</w:t>
        </w:r>
      </w:hyperlink>
      <w:r>
        <w:rPr>
          <w:lang w:val="ar_AE" w:bidi="ar_AE"/>
        </w:rPr>
        <w:t>)، وخدمة الكهنوت (</w:t>
      </w:r>
      <w:hyperlink r:id="rId25">
        <w:r>
          <w:rPr>
            <w:lang w:val="ar_AE" w:bidi="ar_AE"/>
          </w:rPr>
          <w:rPr>
            <w:color w:val="0000EE"/>
            <w:u w:val="single"/>
          </w:rPr>
          <w:t>خروج 28–29</w:t>
        </w:r>
      </w:hyperlink>
      <w:r>
        <w:rPr>
          <w:lang w:val="ar_AE" w:bidi="ar_AE"/>
        </w:rPr>
        <w:t>). انتهى العمَل في المسكن وكُرِّس للرب (</w:t>
      </w:r>
      <w:hyperlink r:id="rId26">
        <w:r>
          <w:rPr>
            <w:lang w:val="ar_AE" w:bidi="ar_AE"/>
          </w:rPr>
          <w:rPr>
            <w:color w:val="0000EE"/>
            <w:u w:val="single"/>
          </w:rPr>
          <w:t>خروج 35–40</w:t>
        </w:r>
      </w:hyperlink>
      <w:r>
        <w:rPr>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lang w:val="ar_AE" w:bidi="ar_AE"/>
        </w:rPr>
        <w:t>الخُلاصة</w:t>
      </w:r>
    </w:p>
    <w:p>
      <w:pPr>
        <w:bidi/>
      </w:pPr>
      <w:r>
        <w:rPr>
          <w:lang w:val="ar_AE" w:bidi="ar_AE"/>
        </w:rPr>
      </w:r>
      <w:r>
        <w:rPr>
          <w:lang w:val="ar_AE" w:bidi="ar_AE"/>
        </w:rPr>
        <w:t xml:space="preserve">تتناول الشرائع في سفر اللاويين أساسًا، الأنشطة والمسؤوليات الخاصة بسِبط الكهنوت، سِبط لاوي، ولا سيما رئيس الكهنة (انظر </w:t>
      </w:r>
      <w:hyperlink r:id="rId27">
        <w:r>
          <w:rPr>
            <w:lang w:val="ar_AE" w:bidi="ar_AE"/>
          </w:rPr>
          <w:rPr>
            <w:color w:val="0000EE"/>
            <w:u w:val="single"/>
          </w:rPr>
          <w:t>خروج 28؛</w:t>
        </w:r>
      </w:hyperlink>
      <w:r>
        <w:rPr>
          <w:lang w:val="ar_AE" w:bidi="ar_AE"/>
        </w:rPr>
        <w:t xml:space="preserve"> </w:t>
      </w:r>
      <w:hyperlink r:id="rId28">
        <w:r>
          <w:rPr>
            <w:lang w:val="ar_AE" w:bidi="ar_AE"/>
          </w:rPr>
          <w:rPr>
            <w:color w:val="0000EE"/>
            <w:u w:val="single"/>
          </w:rPr>
          <w:t>عدد 3: 44–4: 49</w:t>
        </w:r>
      </w:hyperlink>
      <w:r>
        <w:rPr>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lang w:val="ar_AE" w:bidi="ar_AE"/>
        </w:rPr>
      </w:r>
      <w:r>
        <w:rPr>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lang w:val="ar_AE" w:bidi="ar_AE"/>
        </w:rPr>
      </w:r>
      <w:r>
        <w:rPr>
          <w:lang w:val="ar_AE" w:bidi="ar_AE"/>
        </w:rPr>
        <w:t xml:space="preserve">يدعو الله إسرائيل كي يعرفوه ويحبوه (انظر </w:t>
      </w:r>
      <w:hyperlink r:id="rId29">
        <w:r>
          <w:rPr>
            <w:lang w:val="ar_AE" w:bidi="ar_AE"/>
          </w:rPr>
          <w:rPr>
            <w:color w:val="0000EE"/>
            <w:u w:val="single"/>
          </w:rPr>
          <w:t>تثنية 6: 5</w:t>
        </w:r>
      </w:hyperlink>
      <w:r>
        <w:rPr>
          <w:lang w:val="ar_AE" w:bidi="ar_AE"/>
        </w:rPr>
        <w:t xml:space="preserve">؛ </w:t>
      </w:r>
      <w:hyperlink r:id="rId30">
        <w:r>
          <w:rPr>
            <w:lang w:val="ar_AE" w:bidi="ar_AE"/>
          </w:rPr>
          <w:rPr>
            <w:color w:val="0000EE"/>
            <w:u w:val="single"/>
          </w:rPr>
          <w:t>11: 1</w:t>
        </w:r>
      </w:hyperlink>
      <w:r>
        <w:rPr>
          <w:lang w:val="ar_AE" w:bidi="ar_AE"/>
        </w:rPr>
        <w:t>). نتيجةً لذلك، سيحبون أيضًا ويخدمون بعضهم بعضًا (</w:t>
      </w:r>
      <w:hyperlink r:id="rId31">
        <w:r>
          <w:rPr>
            <w:lang w:val="ar_AE" w:bidi="ar_AE"/>
          </w:rPr>
          <w:rPr>
            <w:color w:val="0000EE"/>
            <w:u w:val="single"/>
          </w:rPr>
          <w:t>19:18</w:t>
        </w:r>
      </w:hyperlink>
      <w:r>
        <w:rPr>
          <w:lang w:val="ar_AE" w:bidi="ar_AE"/>
        </w:rPr>
        <w:t xml:space="preserve">، </w:t>
      </w:r>
      <w:hyperlink r:id="rId32">
        <w:r>
          <w:rPr>
            <w:lang w:val="ar_AE" w:bidi="ar_AE"/>
          </w:rPr>
          <w:rPr>
            <w:color w:val="0000EE"/>
            <w:u w:val="single"/>
          </w:rPr>
          <w:t>33–34</w:t>
        </w:r>
      </w:hyperlink>
      <w:r>
        <w:rPr>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lang w:val="ar_AE" w:bidi="ar_AE"/>
        </w:rPr>
        <w:t>كاتب السِفر</w:t>
      </w:r>
    </w:p>
    <w:p>
      <w:pPr>
        <w:bidi/>
      </w:pPr>
      <w:r>
        <w:rPr>
          <w:lang w:val="ar_AE" w:bidi="ar_AE"/>
        </w:rPr>
      </w:r>
      <w:r>
        <w:rPr>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lang w:val="ar_AE" w:bidi="ar_AE"/>
        </w:rPr>
      </w:r>
      <w:r>
        <w:rPr>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hyperlink r:id="rId33">
        <w:r>
          <w:rPr>
            <w:lang w:val="ar_AE" w:bidi="ar_AE"/>
          </w:rPr>
          <w:rPr>
            <w:color w:val="0000EE"/>
            <w:u w:val="single"/>
          </w:rPr>
          <w:t>أعمال الرسل 7:20–22</w:t>
        </w:r>
      </w:hyperlink>
      <w:r>
        <w:rPr>
          <w:lang w:val="ar_AE" w:bidi="ar_AE"/>
        </w:rPr>
        <w:t>)، وكان مؤهلًا تمامًا لكتابة هذا السِفر. يبدأ السِفر وينتهي بعبارات تؤكد أن الله أعطى محتوى هذا السِفر لشعب إسرائيل مِن خلال موسى (</w:t>
      </w:r>
      <w:hyperlink r:id="rId34">
        <w:r>
          <w:rPr>
            <w:lang w:val="ar_AE" w:bidi="ar_AE"/>
          </w:rPr>
          <w:rPr>
            <w:color w:val="0000EE"/>
            <w:u w:val="single"/>
          </w:rPr>
          <w:t>1:1–2؛</w:t>
        </w:r>
      </w:hyperlink>
      <w:r>
        <w:rPr>
          <w:lang w:val="ar_AE" w:bidi="ar_AE"/>
        </w:rPr>
        <w:t xml:space="preserve"> </w:t>
      </w:r>
      <w:hyperlink r:id="rId35">
        <w:r>
          <w:rPr>
            <w:lang w:val="ar_AE" w:bidi="ar_AE"/>
          </w:rPr>
          <w:rPr>
            <w:color w:val="0000EE"/>
            <w:u w:val="single"/>
          </w:rPr>
          <w:t>27:34</w:t>
        </w:r>
      </w:hyperlink>
      <w:r>
        <w:rPr>
          <w:lang w:val="ar_AE" w:bidi="ar_AE"/>
        </w:rPr>
        <w:t xml:space="preserve">). ويصف سفر اللاويين عدَّة مرَّات كيف تلقَّى موسى تعليمات الرب (مثلًا، </w:t>
      </w:r>
      <w:hyperlink r:id="rId36">
        <w:r>
          <w:rPr>
            <w:lang w:val="ar_AE" w:bidi="ar_AE"/>
          </w:rPr>
          <w:rPr>
            <w:color w:val="0000EE"/>
            <w:u w:val="single"/>
          </w:rPr>
          <w:t>4:1؛</w:t>
        </w:r>
      </w:hyperlink>
      <w:r>
        <w:rPr>
          <w:lang w:val="ar_AE" w:bidi="ar_AE"/>
        </w:rPr>
        <w:t xml:space="preserve"> </w:t>
      </w:r>
      <w:hyperlink r:id="rId37">
        <w:r>
          <w:rPr>
            <w:lang w:val="ar_AE" w:bidi="ar_AE"/>
          </w:rPr>
          <w:rPr>
            <w:color w:val="0000EE"/>
            <w:u w:val="single"/>
          </w:rPr>
          <w:t>5:14؛</w:t>
        </w:r>
      </w:hyperlink>
      <w:r>
        <w:rPr>
          <w:lang w:val="ar_AE" w:bidi="ar_AE"/>
        </w:rPr>
        <w:t xml:space="preserve"> </w:t>
      </w:r>
      <w:hyperlink r:id="rId38">
        <w:r>
          <w:rPr>
            <w:lang w:val="ar_AE" w:bidi="ar_AE"/>
          </w:rPr>
          <w:rPr>
            <w:color w:val="0000EE"/>
            <w:u w:val="single"/>
          </w:rPr>
          <w:t>6:1،</w:t>
        </w:r>
      </w:hyperlink>
      <w:r>
        <w:rPr>
          <w:lang w:val="ar_AE" w:bidi="ar_AE"/>
        </w:rPr>
        <w:t xml:space="preserve"> </w:t>
      </w:r>
      <w:hyperlink r:id="rId39">
        <w:r>
          <w:rPr>
            <w:lang w:val="ar_AE" w:bidi="ar_AE"/>
          </w:rPr>
          <w:rPr>
            <w:color w:val="0000EE"/>
            <w:u w:val="single"/>
          </w:rPr>
          <w:t>8،</w:t>
        </w:r>
      </w:hyperlink>
      <w:r>
        <w:rPr>
          <w:lang w:val="ar_AE" w:bidi="ar_AE"/>
        </w:rPr>
        <w:t xml:space="preserve"> </w:t>
      </w:r>
      <w:hyperlink r:id="rId40">
        <w:r>
          <w:rPr>
            <w:lang w:val="ar_AE" w:bidi="ar_AE"/>
          </w:rPr>
          <w:rPr>
            <w:color w:val="0000EE"/>
            <w:u w:val="single"/>
          </w:rPr>
          <w:t>19،</w:t>
        </w:r>
      </w:hyperlink>
      <w:r>
        <w:rPr>
          <w:lang w:val="ar_AE" w:bidi="ar_AE"/>
        </w:rPr>
        <w:t xml:space="preserve"> </w:t>
      </w:r>
      <w:hyperlink r:id="rId41">
        <w:r>
          <w:rPr>
            <w:lang w:val="ar_AE" w:bidi="ar_AE"/>
          </w:rPr>
          <w:rPr>
            <w:color w:val="0000EE"/>
            <w:u w:val="single"/>
          </w:rPr>
          <w:t>24؛</w:t>
        </w:r>
      </w:hyperlink>
      <w:r>
        <w:rPr>
          <w:lang w:val="ar_AE" w:bidi="ar_AE"/>
        </w:rPr>
        <w:t xml:space="preserve"> </w:t>
      </w:r>
      <w:hyperlink r:id="rId42">
        <w:r>
          <w:rPr>
            <w:lang w:val="ar_AE" w:bidi="ar_AE"/>
          </w:rPr>
          <w:rPr>
            <w:color w:val="0000EE"/>
            <w:u w:val="single"/>
          </w:rPr>
          <w:t>7:22،</w:t>
        </w:r>
      </w:hyperlink>
      <w:r>
        <w:rPr>
          <w:lang w:val="ar_AE" w:bidi="ar_AE"/>
        </w:rPr>
        <w:t xml:space="preserve"> </w:t>
      </w:r>
      <w:hyperlink r:id="rId43">
        <w:r>
          <w:rPr>
            <w:lang w:val="ar_AE" w:bidi="ar_AE"/>
          </w:rPr>
          <w:rPr>
            <w:color w:val="0000EE"/>
            <w:u w:val="single"/>
          </w:rPr>
          <w:t>28؛</w:t>
        </w:r>
      </w:hyperlink>
      <w:r>
        <w:rPr>
          <w:lang w:val="ar_AE" w:bidi="ar_AE"/>
        </w:rPr>
        <w:t xml:space="preserve"> </w:t>
      </w:r>
      <w:hyperlink r:id="rId44">
        <w:r>
          <w:rPr>
            <w:lang w:val="ar_AE" w:bidi="ar_AE"/>
          </w:rPr>
          <w:rPr>
            <w:color w:val="0000EE"/>
            <w:u w:val="single"/>
          </w:rPr>
          <w:t>8:1</w:t>
        </w:r>
      </w:hyperlink>
      <w:r>
        <w:rPr>
          <w:lang w:val="ar_AE" w:bidi="ar_AE"/>
        </w:rPr>
        <w:t>)، وأنه قام بتنفيذها (</w:t>
      </w:r>
      <w:hyperlink r:id="rId45">
        <w:r>
          <w:rPr>
            <w:lang w:val="ar_AE" w:bidi="ar_AE"/>
          </w:rPr>
          <w:rPr>
            <w:color w:val="0000EE"/>
            <w:u w:val="single"/>
          </w:rPr>
          <w:t>8:4–10:20</w:t>
        </w:r>
      </w:hyperlink>
      <w:r>
        <w:rPr>
          <w:lang w:val="ar_AE" w:bidi="ar_AE"/>
        </w:rPr>
        <w:t xml:space="preserve">). وكثيرًا ما يُشير العهد القديم إلى موسى باعتباره كاتب الأسفار الخمسة (أي مجموع الأسفار من التكوين إلى التثنية)؛ انظر </w:t>
      </w:r>
      <w:hyperlink r:id="rId46">
        <w:r>
          <w:rPr>
            <w:lang w:val="ar_AE" w:bidi="ar_AE"/>
          </w:rPr>
          <w:rPr>
            <w:color w:val="0000EE"/>
            <w:u w:val="single"/>
          </w:rPr>
          <w:t>يشوع 8:31–32؛</w:t>
        </w:r>
      </w:hyperlink>
      <w:r>
        <w:rPr>
          <w:lang w:val="ar_AE" w:bidi="ar_AE"/>
        </w:rPr>
        <w:t xml:space="preserve"> </w:t>
      </w:r>
      <w:hyperlink r:id="rId47">
        <w:r>
          <w:rPr>
            <w:lang w:val="ar_AE" w:bidi="ar_AE"/>
          </w:rPr>
          <w:rPr>
            <w:color w:val="0000EE"/>
            <w:u w:val="single"/>
          </w:rPr>
          <w:t>23:6؛</w:t>
        </w:r>
      </w:hyperlink>
      <w:r>
        <w:rPr>
          <w:lang w:val="ar_AE" w:bidi="ar_AE"/>
        </w:rPr>
        <w:t xml:space="preserve"> </w:t>
      </w:r>
      <w:hyperlink r:id="rId48">
        <w:r>
          <w:rPr>
            <w:lang w:val="ar_AE" w:bidi="ar_AE"/>
          </w:rPr>
          <w:rPr>
            <w:color w:val="0000EE"/>
            <w:u w:val="single"/>
          </w:rPr>
          <w:t>1 ملوك 2:3؛</w:t>
        </w:r>
      </w:hyperlink>
      <w:r>
        <w:rPr>
          <w:lang w:val="ar_AE" w:bidi="ar_AE"/>
        </w:rPr>
        <w:t xml:space="preserve"> </w:t>
      </w:r>
      <w:hyperlink r:id="rId49">
        <w:r>
          <w:rPr>
            <w:lang w:val="ar_AE" w:bidi="ar_AE"/>
          </w:rPr>
          <w:rPr>
            <w:color w:val="0000EE"/>
            <w:u w:val="single"/>
          </w:rPr>
          <w:t>2 ملوك 14:6؛</w:t>
        </w:r>
      </w:hyperlink>
      <w:r>
        <w:rPr>
          <w:lang w:val="ar_AE" w:bidi="ar_AE"/>
        </w:rPr>
        <w:t xml:space="preserve"> </w:t>
      </w:r>
      <w:hyperlink r:id="rId50">
        <w:r>
          <w:rPr>
            <w:lang w:val="ar_AE" w:bidi="ar_AE"/>
          </w:rPr>
          <w:rPr>
            <w:color w:val="0000EE"/>
            <w:u w:val="single"/>
          </w:rPr>
          <w:t>23:25؛</w:t>
        </w:r>
      </w:hyperlink>
      <w:r>
        <w:rPr>
          <w:lang w:val="ar_AE" w:bidi="ar_AE"/>
        </w:rPr>
        <w:t xml:space="preserve"> </w:t>
      </w:r>
      <w:hyperlink r:id="rId51">
        <w:r>
          <w:rPr>
            <w:lang w:val="ar_AE" w:bidi="ar_AE"/>
          </w:rPr>
          <w:rPr>
            <w:color w:val="0000EE"/>
            <w:u w:val="single"/>
          </w:rPr>
          <w:t>2 أخبار الأيام 23:18؛</w:t>
        </w:r>
      </w:hyperlink>
      <w:r>
        <w:rPr>
          <w:lang w:val="ar_AE" w:bidi="ar_AE"/>
        </w:rPr>
        <w:t xml:space="preserve"> </w:t>
      </w:r>
      <w:hyperlink r:id="rId52">
        <w:r>
          <w:rPr>
            <w:lang w:val="ar_AE" w:bidi="ar_AE"/>
          </w:rPr>
          <w:rPr>
            <w:color w:val="0000EE"/>
            <w:u w:val="single"/>
          </w:rPr>
          <w:t>30:16؛</w:t>
        </w:r>
      </w:hyperlink>
      <w:r>
        <w:rPr>
          <w:lang w:val="ar_AE" w:bidi="ar_AE"/>
        </w:rPr>
        <w:t xml:space="preserve"> </w:t>
      </w:r>
      <w:hyperlink r:id="rId53">
        <w:r>
          <w:rPr>
            <w:lang w:val="ar_AE" w:bidi="ar_AE"/>
          </w:rPr>
          <w:rPr>
            <w:color w:val="0000EE"/>
            <w:u w:val="single"/>
          </w:rPr>
          <w:t>عزرا 3:2؛</w:t>
        </w:r>
      </w:hyperlink>
      <w:r>
        <w:rPr>
          <w:lang w:val="ar_AE" w:bidi="ar_AE"/>
        </w:rPr>
        <w:t xml:space="preserve"> </w:t>
      </w:r>
      <w:hyperlink r:id="rId54">
        <w:r>
          <w:rPr>
            <w:lang w:val="ar_AE" w:bidi="ar_AE"/>
          </w:rPr>
          <w:rPr>
            <w:color w:val="0000EE"/>
            <w:u w:val="single"/>
          </w:rPr>
          <w:t>7:6؛</w:t>
        </w:r>
      </w:hyperlink>
      <w:r>
        <w:rPr>
          <w:lang w:val="ar_AE" w:bidi="ar_AE"/>
        </w:rPr>
        <w:t xml:space="preserve"> </w:t>
      </w:r>
      <w:hyperlink r:id="rId55">
        <w:r>
          <w:rPr>
            <w:lang w:val="ar_AE" w:bidi="ar_AE"/>
          </w:rPr>
          <w:rPr>
            <w:color w:val="0000EE"/>
            <w:u w:val="single"/>
          </w:rPr>
          <w:t>نحميا 8:1؛</w:t>
        </w:r>
      </w:hyperlink>
      <w:r>
        <w:rPr>
          <w:lang w:val="ar_AE" w:bidi="ar_AE"/>
        </w:rPr>
        <w:t xml:space="preserve"> </w:t>
      </w:r>
      <w:hyperlink r:id="rId56">
        <w:r>
          <w:rPr>
            <w:lang w:val="ar_AE" w:bidi="ar_AE"/>
          </w:rPr>
          <w:rPr>
            <w:color w:val="0000EE"/>
            <w:u w:val="single"/>
          </w:rPr>
          <w:t>دانيال 9:11–13</w:t>
        </w:r>
      </w:hyperlink>
      <w:r>
        <w:rPr>
          <w:lang w:val="ar_AE" w:bidi="ar_AE"/>
        </w:rPr>
        <w:t>). ويذكر العهد الجديد الشيء ذاته (</w:t>
      </w:r>
      <w:hyperlink r:id="rId57">
        <w:r>
          <w:rPr>
            <w:lang w:val="ar_AE" w:bidi="ar_AE"/>
          </w:rPr>
          <w:rPr>
            <w:color w:val="0000EE"/>
            <w:u w:val="single"/>
          </w:rPr>
          <w:t>متى 19:7–8؛</w:t>
        </w:r>
      </w:hyperlink>
      <w:r>
        <w:rPr>
          <w:lang w:val="ar_AE" w:bidi="ar_AE"/>
        </w:rPr>
        <w:t xml:space="preserve"> </w:t>
      </w:r>
      <w:hyperlink r:id="rId58">
        <w:r>
          <w:rPr>
            <w:lang w:val="ar_AE" w:bidi="ar_AE"/>
          </w:rPr>
          <w:rPr>
            <w:color w:val="0000EE"/>
            <w:u w:val="single"/>
          </w:rPr>
          <w:t>لوقا 2:22؛</w:t>
        </w:r>
      </w:hyperlink>
      <w:r>
        <w:rPr>
          <w:lang w:val="ar_AE" w:bidi="ar_AE"/>
        </w:rPr>
        <w:t xml:space="preserve"> </w:t>
      </w:r>
      <w:hyperlink r:id="rId59">
        <w:r>
          <w:rPr>
            <w:lang w:val="ar_AE" w:bidi="ar_AE"/>
          </w:rPr>
          <w:rPr>
            <w:color w:val="0000EE"/>
            <w:u w:val="single"/>
          </w:rPr>
          <w:t>24:44؛</w:t>
        </w:r>
      </w:hyperlink>
      <w:r>
        <w:rPr>
          <w:lang w:val="ar_AE" w:bidi="ar_AE"/>
        </w:rPr>
        <w:t xml:space="preserve"> </w:t>
      </w:r>
      <w:hyperlink r:id="rId60">
        <w:r>
          <w:rPr>
            <w:lang w:val="ar_AE" w:bidi="ar_AE"/>
          </w:rPr>
          <w:rPr>
            <w:color w:val="0000EE"/>
            <w:u w:val="single"/>
          </w:rPr>
          <w:t>يوحنا 7:19،</w:t>
        </w:r>
      </w:hyperlink>
      <w:r>
        <w:rPr>
          <w:lang w:val="ar_AE" w:bidi="ar_AE"/>
        </w:rPr>
        <w:t xml:space="preserve"> </w:t>
      </w:r>
      <w:hyperlink r:id="rId61">
        <w:r>
          <w:rPr>
            <w:lang w:val="ar_AE" w:bidi="ar_AE"/>
          </w:rPr>
          <w:rPr>
            <w:color w:val="0000EE"/>
            <w:u w:val="single"/>
          </w:rPr>
          <w:t>23؛</w:t>
        </w:r>
      </w:hyperlink>
      <w:r>
        <w:rPr>
          <w:lang w:val="ar_AE" w:bidi="ar_AE"/>
        </w:rPr>
        <w:t xml:space="preserve"> </w:t>
      </w:r>
      <w:hyperlink r:id="rId62">
        <w:r>
          <w:rPr>
            <w:lang w:val="ar_AE" w:bidi="ar_AE"/>
          </w:rPr>
          <w:rPr>
            <w:color w:val="0000EE"/>
            <w:u w:val="single"/>
          </w:rPr>
          <w:t>رومية 10:5؛</w:t>
        </w:r>
      </w:hyperlink>
      <w:r>
        <w:rPr>
          <w:lang w:val="ar_AE" w:bidi="ar_AE"/>
        </w:rPr>
        <w:t xml:space="preserve"> </w:t>
      </w:r>
      <w:hyperlink r:id="rId63">
        <w:r>
          <w:rPr>
            <w:lang w:val="ar_AE" w:bidi="ar_AE"/>
          </w:rPr>
          <w:rPr>
            <w:color w:val="0000EE"/>
            <w:u w:val="single"/>
          </w:rPr>
          <w:t>1 كورنثوس 9:9؛</w:t>
        </w:r>
      </w:hyperlink>
      <w:r>
        <w:rPr>
          <w:lang w:val="ar_AE" w:bidi="ar_AE"/>
        </w:rPr>
        <w:t xml:space="preserve"> </w:t>
      </w:r>
      <w:hyperlink r:id="rId64">
        <w:r>
          <w:rPr>
            <w:lang w:val="ar_AE" w:bidi="ar_AE"/>
          </w:rPr>
          <w:rPr>
            <w:color w:val="0000EE"/>
            <w:u w:val="single"/>
          </w:rPr>
          <w:t>عبرانيين 10:28</w:t>
        </w:r>
      </w:hyperlink>
      <w:r>
        <w:rPr>
          <w:lang w:val="ar_AE" w:bidi="ar_AE"/>
        </w:rPr>
        <w:t xml:space="preserve">). انظر أيضًا </w:t>
      </w:r>
      <w:r>
        <w:rPr>
          <w:lang w:val="ar_AE" w:bidi="ar_AE"/>
        </w:rPr>
        <w:t>مقدمة سِفر التكوين</w:t>
      </w:r>
      <w:r>
        <w:rPr>
          <w:lang w:val="ar_AE" w:bidi="ar_AE"/>
        </w:rPr>
        <w:t>، "الكاتب".</w:t>
      </w:r>
    </w:p>
    <w:p>
      <w:pPr>
        <w:pStyle w:val="Heading2"/>
        <w:bidi/>
      </w:pPr>
      <w:r>
        <w:rPr>
          <w:lang w:val="ar_AE" w:bidi="ar_AE"/>
        </w:rPr>
        <w:t>المعنى والرسالة</w:t>
      </w:r>
    </w:p>
    <w:p>
      <w:pPr>
        <w:bidi/>
      </w:pPr>
      <w:r>
        <w:rPr>
          <w:lang w:val="ar_AE" w:bidi="ar_AE"/>
        </w:rPr>
      </w:r>
      <w:r>
        <w:rPr>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hyperlink r:id="rId15">
        <w:r>
          <w:rPr>
            <w:lang w:val="ar_AE" w:bidi="ar_AE"/>
          </w:rPr>
          <w:rPr>
            <w:color w:val="0000EE"/>
            <w:u w:val="single"/>
          </w:rPr>
          <w:t>11:44–45</w:t>
        </w:r>
      </w:hyperlink>
      <w:r>
        <w:rPr>
          <w:lang w:val="ar_AE" w:bidi="ar_AE"/>
        </w:rPr>
        <w:t>).</w:t>
      </w:r>
    </w:p>
    <w:p>
      <w:pPr>
        <w:bidi/>
      </w:pPr>
      <w:r>
        <w:rPr>
          <w:lang w:val="ar_AE" w:bidi="ar_AE"/>
        </w:rPr>
      </w:r>
      <w:r>
        <w:rPr>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hyperlink r:id="rId15">
        <w:r>
          <w:rPr>
            <w:lang w:val="ar_AE" w:bidi="ar_AE"/>
          </w:rPr>
          <w:rPr>
            <w:color w:val="0000EE"/>
            <w:u w:val="single"/>
          </w:rPr>
          <w:t>لاويين 11:44–45؛</w:t>
        </w:r>
      </w:hyperlink>
      <w:r>
        <w:rPr>
          <w:lang w:val="ar_AE" w:bidi="ar_AE"/>
        </w:rPr>
        <w:t xml:space="preserve"> </w:t>
      </w:r>
      <w:hyperlink r:id="rId65">
        <w:r>
          <w:rPr>
            <w:lang w:val="ar_AE" w:bidi="ar_AE"/>
          </w:rPr>
          <w:rPr>
            <w:color w:val="0000EE"/>
            <w:u w:val="single"/>
          </w:rPr>
          <w:t>19:2؛</w:t>
        </w:r>
      </w:hyperlink>
      <w:r>
        <w:rPr>
          <w:lang w:val="ar_AE" w:bidi="ar_AE"/>
        </w:rPr>
        <w:t xml:space="preserve"> انظر </w:t>
      </w:r>
      <w:hyperlink r:id="rId66">
        <w:r>
          <w:rPr>
            <w:lang w:val="ar_AE" w:bidi="ar_AE"/>
          </w:rPr>
          <w:rPr>
            <w:color w:val="0000EE"/>
            <w:u w:val="single"/>
          </w:rPr>
          <w:t>1 كورنثوس 3:17؛</w:t>
        </w:r>
      </w:hyperlink>
      <w:r>
        <w:rPr>
          <w:lang w:val="ar_AE" w:bidi="ar_AE"/>
        </w:rPr>
        <w:t xml:space="preserve"> </w:t>
      </w:r>
      <w:hyperlink r:id="rId67">
        <w:r>
          <w:rPr>
            <w:lang w:val="ar_AE" w:bidi="ar_AE"/>
          </w:rPr>
          <w:rPr>
            <w:color w:val="0000EE"/>
            <w:u w:val="single"/>
          </w:rPr>
          <w:t>1 بطرس 1:15</w:t>
        </w:r>
      </w:hyperlink>
      <w:r>
        <w:rPr>
          <w:lang w:val="ar_AE" w:bidi="ar_AE"/>
        </w:rPr>
        <w:t>).</w:t>
      </w:r>
    </w:p>
    <w:p>
      <w:pPr>
        <w:bidi/>
      </w:pPr>
      <w:r>
        <w:rPr>
          <w:lang w:val="ar_AE" w:bidi="ar_AE"/>
        </w:rPr>
      </w:r>
      <w:r>
        <w:rPr>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hyperlink r:id="rId68">
        <w:r>
          <w:rPr>
            <w:lang w:val="ar_AE" w:bidi="ar_AE"/>
          </w:rPr>
          <w:rPr>
            <w:color w:val="0000EE"/>
            <w:u w:val="single"/>
          </w:rPr>
          <w:t>متى 22:39؛</w:t>
        </w:r>
      </w:hyperlink>
      <w:r>
        <w:rPr>
          <w:lang w:val="ar_AE" w:bidi="ar_AE"/>
        </w:rPr>
        <w:t xml:space="preserve"> </w:t>
      </w:r>
      <w:hyperlink r:id="rId69">
        <w:r>
          <w:rPr>
            <w:lang w:val="ar_AE" w:bidi="ar_AE"/>
          </w:rPr>
          <w:rPr>
            <w:color w:val="0000EE"/>
            <w:u w:val="single"/>
          </w:rPr>
          <w:t>مرقص 12:31؛</w:t>
        </w:r>
      </w:hyperlink>
      <w:r>
        <w:rPr>
          <w:lang w:val="ar_AE" w:bidi="ar_AE"/>
        </w:rPr>
        <w:t xml:space="preserve"> </w:t>
      </w:r>
      <w:hyperlink r:id="rId70">
        <w:r>
          <w:rPr>
            <w:lang w:val="ar_AE" w:bidi="ar_AE"/>
          </w:rPr>
          <w:rPr>
            <w:color w:val="0000EE"/>
            <w:u w:val="single"/>
          </w:rPr>
          <w:t>لوقا 10:27؛</w:t>
        </w:r>
      </w:hyperlink>
      <w:r>
        <w:rPr>
          <w:lang w:val="ar_AE" w:bidi="ar_AE"/>
        </w:rPr>
        <w:t xml:space="preserve"> </w:t>
      </w:r>
      <w:hyperlink r:id="rId71">
        <w:r>
          <w:rPr>
            <w:lang w:val="ar_AE" w:bidi="ar_AE"/>
          </w:rPr>
          <w:rPr>
            <w:color w:val="0000EE"/>
            <w:u w:val="single"/>
          </w:rPr>
          <w:t>رومية 13:9؛</w:t>
        </w:r>
      </w:hyperlink>
      <w:r>
        <w:rPr>
          <w:lang w:val="ar_AE" w:bidi="ar_AE"/>
        </w:rPr>
        <w:t xml:space="preserve"> </w:t>
      </w:r>
      <w:hyperlink r:id="rId72">
        <w:r>
          <w:rPr>
            <w:lang w:val="ar_AE" w:bidi="ar_AE"/>
          </w:rPr>
          <w:rPr>
            <w:color w:val="0000EE"/>
            <w:u w:val="single"/>
          </w:rPr>
          <w:t>غلاطية 5:14؛</w:t>
        </w:r>
      </w:hyperlink>
      <w:r>
        <w:rPr>
          <w:lang w:val="ar_AE" w:bidi="ar_AE"/>
        </w:rPr>
        <w:t xml:space="preserve"> </w:t>
      </w:r>
      <w:hyperlink r:id="rId73">
        <w:r>
          <w:rPr>
            <w:lang w:val="ar_AE" w:bidi="ar_AE"/>
          </w:rPr>
          <w:rPr>
            <w:color w:val="0000EE"/>
            <w:u w:val="single"/>
          </w:rPr>
          <w:t>يعقوب 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