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i/>
          <w:lang w:val="ar_AE" w:bidi="ar_AE"/>
        </w:rPr>
        <w:t>سِفر مِيخا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lang w:val="ar_AE" w:bidi="ar_AE"/>
        </w:rPr>
        <w:t>أحداث وخلفية السِفر</w:t>
      </w:r>
    </w:p>
    <w:p>
      <w:pPr>
        <w:bidi/>
      </w:pPr>
      <w:r>
        <w:rPr>
          <w:lang w:val="ar_AE" w:bidi="ar_AE"/>
        </w:rPr>
      </w:r>
      <w:r>
        <w:rPr>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lang w:val="ar_AE" w:bidi="ar_AE"/>
        </w:rPr>
      </w:r>
      <w:r>
        <w:rPr>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5">
        <w:r>
          <w:rPr>
            <w:lang w:val="ar_AE" w:bidi="ar_AE"/>
          </w:rPr>
          <w:rPr>
            <w:color w:val="0000EE"/>
            <w:u w:val="single"/>
          </w:rPr>
          <w:t>2 ملوك 15:32–38</w:t>
        </w:r>
      </w:hyperlink>
      <w:r>
        <w:rPr>
          <w:lang w:val="ar_AE" w:bidi="ar_AE"/>
        </w:rPr>
        <w:t>).</w:t>
      </w:r>
    </w:p>
    <w:p>
      <w:pPr>
        <w:bidi/>
      </w:pPr>
      <w:r>
        <w:rPr>
          <w:lang w:val="ar_AE" w:bidi="ar_AE"/>
        </w:rPr>
      </w:r>
      <w:r>
        <w:rPr>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6">
        <w:r>
          <w:rPr>
            <w:lang w:val="ar_AE" w:bidi="ar_AE"/>
          </w:rPr>
          <w:rPr>
            <w:color w:val="0000EE"/>
            <w:u w:val="single"/>
          </w:rPr>
          <w:t>2 ملوك 16:1–4</w:t>
        </w:r>
      </w:hyperlink>
      <w:r>
        <w:rPr>
          <w:lang w:val="ar_AE" w:bidi="ar_AE"/>
        </w:rPr>
        <w:t>). عندما استولى الأدوميون والفلسطينيون على مناطق جَنُوب فلسطين كان قد غزاها رصين وفقح (</w:t>
      </w:r>
      <w:hyperlink r:id="rId17">
        <w:r>
          <w:rPr>
            <w:lang w:val="ar_AE" w:bidi="ar_AE"/>
          </w:rPr>
          <w:rPr>
            <w:color w:val="0000EE"/>
            <w:u w:val="single"/>
          </w:rPr>
          <w:t xml:space="preserve">2 ملوك 16:5–6؛ </w:t>
        </w:r>
      </w:hyperlink>
      <w:hyperlink r:id="rId18">
        <w:r>
          <w:rPr>
            <w:lang w:val="ar_AE" w:bidi="ar_AE"/>
          </w:rPr>
          <w:rPr>
            <w:color w:val="0000EE"/>
            <w:u w:val="single"/>
          </w:rPr>
          <w:t>2 أخبار 28:18</w:t>
        </w:r>
      </w:hyperlink>
      <w:r>
        <w:rPr>
          <w:lang w:val="ar_AE" w:bidi="ar_AE"/>
        </w:rPr>
        <w:t>)، عقد آحاز تحالفًا مع ملِك أشور تغلث فلاسر الثالث (744–727 ق.م) بدفع الذهب من الهيكل والخزائن المَلَكية جزية للآشوريين (</w:t>
      </w:r>
      <w:hyperlink r:id="rId19">
        <w:r>
          <w:rPr>
            <w:lang w:val="ar_AE" w:bidi="ar_AE"/>
          </w:rPr>
          <w:rPr>
            <w:color w:val="0000EE"/>
            <w:u w:val="single"/>
          </w:rPr>
          <w:t>2 ملوك 16:7–9</w:t>
        </w:r>
      </w:hyperlink>
      <w:r>
        <w:rPr>
          <w:lang w:val="ar_AE" w:bidi="ar_AE"/>
        </w:rPr>
        <w:t>). أفسد آحاز عبادة يهوذا بإدخال مذابح وثنية إلى أورشليم (</w:t>
      </w:r>
      <w:hyperlink r:id="rId20">
        <w:r>
          <w:rPr>
            <w:lang w:val="ar_AE" w:bidi="ar_AE"/>
          </w:rPr>
          <w:rPr>
            <w:color w:val="0000EE"/>
            <w:u w:val="single"/>
          </w:rPr>
          <w:t>2 ملوك 16:10–13</w:t>
        </w:r>
      </w:hyperlink>
      <w:r>
        <w:rPr>
          <w:lang w:val="ar_AE" w:bidi="ar_AE"/>
        </w:rPr>
        <w:t>) وأعاق عبادة ٱلرَّب (</w:t>
      </w:r>
      <w:hyperlink r:id="rId21">
        <w:r>
          <w:rPr>
            <w:lang w:val="ar_AE" w:bidi="ar_AE"/>
          </w:rPr>
          <w:rPr>
            <w:color w:val="0000EE"/>
            <w:u w:val="single"/>
          </w:rPr>
          <w:t>2 ملوك 16:14–20</w:t>
        </w:r>
      </w:hyperlink>
      <w:r>
        <w:rPr>
          <w:lang w:val="ar_AE" w:bidi="ar_AE"/>
        </w:rPr>
        <w:t>).</w:t>
      </w:r>
    </w:p>
    <w:p>
      <w:pPr>
        <w:bidi/>
      </w:pPr>
      <w:r>
        <w:rPr>
          <w:lang w:val="ar_AE" w:bidi="ar_AE"/>
        </w:rPr>
      </w:r>
      <w:r>
        <w:rPr>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2">
        <w:r>
          <w:rPr>
            <w:lang w:val="ar_AE" w:bidi="ar_AE"/>
          </w:rPr>
          <w:rPr>
            <w:color w:val="0000EE"/>
            <w:u w:val="single"/>
          </w:rPr>
          <w:t>2 ملوك 18:1–19:37</w:t>
        </w:r>
      </w:hyperlink>
      <w:r>
        <w:rPr>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3">
        <w:r>
          <w:rPr>
            <w:lang w:val="ar_AE" w:bidi="ar_AE"/>
          </w:rPr>
          <w:rPr>
            <w:color w:val="0000EE"/>
            <w:u w:val="single"/>
          </w:rPr>
          <w:t>2 ملوك 20:12–21</w:t>
        </w:r>
      </w:hyperlink>
      <w:r>
        <w:rPr>
          <w:lang w:val="ar_AE" w:bidi="ar_AE"/>
        </w:rPr>
        <w:t>).</w:t>
      </w:r>
    </w:p>
    <w:p>
      <w:pPr>
        <w:bidi/>
      </w:pPr>
      <w:r>
        <w:rPr>
          <w:lang w:val="ar_AE" w:bidi="ar_AE"/>
        </w:rPr>
      </w:r>
      <w:r>
        <w:rPr>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4">
        <w:r>
          <w:rPr>
            <w:lang w:val="ar_AE" w:bidi="ar_AE"/>
          </w:rPr>
          <w:rPr>
            <w:color w:val="0000EE"/>
            <w:u w:val="single"/>
          </w:rPr>
          <w:t>٢ ملوك 15:28</w:t>
        </w:r>
      </w:hyperlink>
      <w:r>
        <w:rPr>
          <w:lang w:val="ar_AE" w:bidi="ar_AE"/>
        </w:rPr>
        <w:t>). خلال مُلك فقح، أخِذت أجزاء من مملكة إسرائيل الشِّمالية إلى السبي (</w:t>
      </w:r>
      <w:hyperlink r:id="rId25">
        <w:r>
          <w:rPr>
            <w:lang w:val="ar_AE" w:bidi="ar_AE"/>
          </w:rPr>
          <w:rPr>
            <w:color w:val="0000EE"/>
            <w:u w:val="single"/>
          </w:rPr>
          <w:t>٢ ملوك 15:29</w:t>
        </w:r>
      </w:hyperlink>
      <w:r>
        <w:rPr>
          <w:lang w:val="ar_AE" w:bidi="ar_AE"/>
        </w:rPr>
        <w:t>). اغتيل فقح بواسطة هوشع، الذي حكم حتى سقوط السامرة في ٧٢٢ قبل الميلاد (</w:t>
      </w:r>
      <w:hyperlink r:id="rId26">
        <w:r>
          <w:rPr>
            <w:lang w:val="ar_AE" w:bidi="ar_AE"/>
          </w:rPr>
          <w:rPr>
            <w:color w:val="0000EE"/>
            <w:u w:val="single"/>
          </w:rPr>
          <w:t>٢ ملوك 15:30–31؛ 17:6</w:t>
        </w:r>
      </w:hyperlink>
      <w:r>
        <w:rPr>
          <w:lang w:val="ar_AE" w:bidi="ar_AE"/>
        </w:rPr>
        <w:t>).</w:t>
      </w:r>
    </w:p>
    <w:p>
      <w:pPr>
        <w:bidi/>
      </w:pPr>
      <w:r>
        <w:rPr>
          <w:lang w:val="ar_AE" w:bidi="ar_AE"/>
        </w:rPr>
      </w:r>
      <w:r>
        <w:rPr>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7">
        <w:r>
          <w:rPr>
            <w:lang w:val="ar_AE" w:bidi="ar_AE"/>
          </w:rPr>
          <w:rPr>
            <w:color w:val="0000EE"/>
            <w:u w:val="single"/>
          </w:rPr>
          <w:t>2 ملوك 17:5–6</w:t>
        </w:r>
      </w:hyperlink>
      <w:r>
        <w:rPr>
          <w:lang w:val="ar_AE" w:bidi="ar_AE"/>
        </w:rPr>
        <w:t>)، وجُلب أشخاصًا من أمم مختلفة إلى أرض إسرائيل المدمرة للعيش فيها (</w:t>
      </w:r>
      <w:hyperlink r:id="rId28">
        <w:r>
          <w:rPr>
            <w:lang w:val="ar_AE" w:bidi="ar_AE"/>
          </w:rPr>
          <w:rPr>
            <w:color w:val="0000EE"/>
            <w:u w:val="single"/>
          </w:rPr>
          <w:t>2 ملوك 17:24–41</w:t>
        </w:r>
      </w:hyperlink>
      <w:r>
        <w:rPr>
          <w:lang w:val="ar_AE" w:bidi="ar_AE"/>
        </w:rPr>
        <w:t>). أدَّت العبادة الزائفة لإسرائيل إلى تدميرها ورفضها من قبل الرب.</w:t>
      </w:r>
    </w:p>
    <w:p>
      <w:pPr>
        <w:pStyle w:val="Heading2"/>
        <w:bidi/>
      </w:pPr>
      <w:r>
        <w:rPr>
          <w:lang w:val="ar_AE" w:bidi="ar_AE"/>
        </w:rPr>
        <w:t>الخُلاصة</w:t>
      </w:r>
    </w:p>
    <w:p>
      <w:pPr>
        <w:bidi/>
      </w:pPr>
      <w:r>
        <w:rPr>
          <w:lang w:val="ar_AE" w:bidi="ar_AE"/>
        </w:rPr>
      </w:r>
      <w:r>
        <w:rPr>
          <w:lang w:val="ar_AE" w:bidi="ar_AE"/>
        </w:rPr>
        <w:t>بعد المُلاحظات العلوية (</w:t>
      </w:r>
      <w:hyperlink r:id="rId29">
        <w:r>
          <w:rPr>
            <w:lang w:val="ar_AE" w:bidi="ar_AE"/>
          </w:rPr>
          <w:rPr>
            <w:color w:val="0000EE"/>
            <w:u w:val="single"/>
          </w:rPr>
          <w:t>1:1</w:t>
        </w:r>
      </w:hyperlink>
      <w:r>
        <w:rPr>
          <w:lang w:val="ar_AE" w:bidi="ar_AE"/>
        </w:rPr>
        <w:t>)، يبدأ كل قِسم من الأقسام الثلاثة بدعوة إسرائيل إلى "الاستماع" (</w:t>
      </w:r>
      <w:hyperlink r:id="rId30">
        <w:r>
          <w:rPr>
            <w:lang w:val="ar_AE" w:bidi="ar_AE"/>
          </w:rPr>
          <w:rPr>
            <w:color w:val="0000EE"/>
            <w:u w:val="single"/>
          </w:rPr>
          <w:t>1:2–2:13</w:t>
        </w:r>
      </w:hyperlink>
      <w:r>
        <w:rPr>
          <w:lang w:val="ar_AE" w:bidi="ar_AE"/>
        </w:rPr>
        <w:t xml:space="preserve">؛ </w:t>
      </w:r>
      <w:hyperlink r:id="rId31">
        <w:r>
          <w:rPr>
            <w:lang w:val="ar_AE" w:bidi="ar_AE"/>
          </w:rPr>
          <w:rPr>
            <w:color w:val="0000EE"/>
            <w:u w:val="single"/>
          </w:rPr>
          <w:t>3:1–5:15</w:t>
        </w:r>
      </w:hyperlink>
      <w:r>
        <w:rPr>
          <w:lang w:val="ar_AE" w:bidi="ar_AE"/>
        </w:rPr>
        <w:t xml:space="preserve">؛ </w:t>
      </w:r>
      <w:hyperlink r:id="rId32">
        <w:r>
          <w:rPr>
            <w:lang w:val="ar_AE" w:bidi="ar_AE"/>
          </w:rPr>
          <w:rPr>
            <w:color w:val="0000EE"/>
            <w:u w:val="single"/>
          </w:rPr>
          <w:t>6:1–7:6</w:t>
        </w:r>
      </w:hyperlink>
      <w:r>
        <w:rPr>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lang w:val="ar_AE" w:bidi="ar_AE"/>
        </w:rPr>
      </w:r>
      <w:r>
        <w:rPr>
          <w:lang w:val="ar_AE" w:bidi="ar_AE"/>
        </w:rPr>
        <w:t xml:space="preserve">تتخلل رسالة ميخا عن الدينونة كلمات رجاء، مع ذلك (انظر </w:t>
      </w:r>
      <w:hyperlink r:id="rId33">
        <w:r>
          <w:rPr>
            <w:lang w:val="ar_AE" w:bidi="ar_AE"/>
          </w:rPr>
          <w:rPr>
            <w:color w:val="0000EE"/>
            <w:u w:val="single"/>
          </w:rPr>
          <w:t>2:12–13؛</w:t>
        </w:r>
      </w:hyperlink>
      <w:r>
        <w:rPr>
          <w:lang w:val="ar_AE" w:bidi="ar_AE"/>
        </w:rPr>
        <w:t xml:space="preserve"> </w:t>
      </w:r>
      <w:hyperlink r:id="rId34">
        <w:r>
          <w:rPr>
            <w:lang w:val="ar_AE" w:bidi="ar_AE"/>
          </w:rPr>
          <w:rPr>
            <w:color w:val="0000EE"/>
            <w:u w:val="single"/>
          </w:rPr>
          <w:t>4:1–8،</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5:2–15؛</w:t>
        </w:r>
      </w:hyperlink>
      <w:r>
        <w:rPr>
          <w:lang w:val="ar_AE" w:bidi="ar_AE"/>
        </w:rPr>
        <w:t xml:space="preserve"> </w:t>
      </w:r>
      <w:hyperlink r:id="rId37">
        <w:r>
          <w:rPr>
            <w:lang w:val="ar_AE" w:bidi="ar_AE"/>
          </w:rPr>
          <w:rPr>
            <w:color w:val="0000EE"/>
            <w:u w:val="single"/>
          </w:rPr>
          <w:t>7:7–20</w:t>
        </w:r>
      </w:hyperlink>
      <w:r>
        <w:rPr>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lang w:val="ar_AE" w:bidi="ar_AE"/>
        </w:rPr>
        <w:t>كاتِب السِفر والتاريخ</w:t>
      </w:r>
    </w:p>
    <w:p>
      <w:pPr>
        <w:bidi/>
      </w:pPr>
      <w:r>
        <w:rPr>
          <w:lang w:val="ar_AE" w:bidi="ar_AE"/>
        </w:rPr>
      </w:r>
      <w:r>
        <w:rPr>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8">
        <w:r>
          <w:rPr>
            <w:lang w:val="ar_AE" w:bidi="ar_AE"/>
          </w:rPr>
          <w:rPr>
            <w:color w:val="0000EE"/>
            <w:u w:val="single"/>
          </w:rPr>
          <w:t>4:6–8</w:t>
        </w:r>
      </w:hyperlink>
      <w:r>
        <w:rPr>
          <w:lang w:val="ar_AE" w:bidi="ar_AE"/>
        </w:rPr>
        <w:t xml:space="preserve"> و</w:t>
      </w:r>
      <w:hyperlink r:id="rId39">
        <w:r>
          <w:rPr>
            <w:lang w:val="ar_AE" w:bidi="ar_AE"/>
          </w:rPr>
          <w:rPr>
            <w:color w:val="0000EE"/>
            <w:u w:val="single"/>
          </w:rPr>
          <w:t>7:8–20</w:t>
        </w:r>
      </w:hyperlink>
      <w:r>
        <w:rPr>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40">
        <w:r>
          <w:rPr>
            <w:lang w:val="ar_AE" w:bidi="ar_AE"/>
          </w:rPr>
          <w:rPr>
            <w:color w:val="0000EE"/>
            <w:u w:val="single"/>
          </w:rPr>
          <w:t>إشعياء 52:4–12</w:t>
        </w:r>
      </w:hyperlink>
      <w:r>
        <w:rPr>
          <w:lang w:val="ar_AE" w:bidi="ar_AE"/>
        </w:rPr>
        <w:t xml:space="preserve">؛ </w:t>
      </w:r>
      <w:hyperlink r:id="rId41">
        <w:r>
          <w:rPr>
            <w:lang w:val="ar_AE" w:bidi="ar_AE"/>
          </w:rPr>
          <w:rPr>
            <w:color w:val="0000EE"/>
            <w:u w:val="single"/>
          </w:rPr>
          <w:t>هوشع 11:10–11</w:t>
        </w:r>
      </w:hyperlink>
      <w:r>
        <w:rPr>
          <w:lang w:val="ar_AE" w:bidi="ar_AE"/>
        </w:rPr>
        <w:t xml:space="preserve">؛ </w:t>
      </w:r>
      <w:hyperlink r:id="rId42">
        <w:r>
          <w:rPr>
            <w:lang w:val="ar_AE" w:bidi="ar_AE"/>
          </w:rPr>
          <w:rPr>
            <w:color w:val="0000EE"/>
            <w:u w:val="single"/>
          </w:rPr>
          <w:t>عاموس 9:11–15</w:t>
        </w:r>
      </w:hyperlink>
      <w:r>
        <w:rPr>
          <w:lang w:val="ar_AE" w:bidi="ar_AE"/>
        </w:rPr>
        <w:t>).</w:t>
      </w:r>
    </w:p>
    <w:p>
      <w:pPr>
        <w:bidi/>
      </w:pPr>
      <w:r>
        <w:rPr>
          <w:lang w:val="ar_AE" w:bidi="ar_AE"/>
        </w:rPr>
      </w:r>
      <w:r>
        <w:rPr>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9">
        <w:r>
          <w:rPr>
            <w:lang w:val="ar_AE" w:bidi="ar_AE"/>
          </w:rPr>
          <w:rPr>
            <w:color w:val="0000EE"/>
            <w:u w:val="single"/>
          </w:rPr>
          <w:t>ميخا 1:1</w:t>
        </w:r>
      </w:hyperlink>
      <w:r>
        <w:rPr>
          <w:lang w:val="ar_AE" w:bidi="ar_AE"/>
        </w:rPr>
        <w:t xml:space="preserve">، </w:t>
      </w:r>
      <w:hyperlink r:id="rId43">
        <w:r>
          <w:rPr>
            <w:lang w:val="ar_AE" w:bidi="ar_AE"/>
          </w:rPr>
          <w:rPr>
            <w:color w:val="0000EE"/>
            <w:u w:val="single"/>
          </w:rPr>
          <w:t>6</w:t>
        </w:r>
      </w:hyperlink>
      <w:r>
        <w:rPr>
          <w:lang w:val="ar_AE" w:bidi="ar_AE"/>
        </w:rPr>
        <w:t xml:space="preserve">؛ </w:t>
      </w:r>
      <w:hyperlink r:id="rId44">
        <w:r>
          <w:rPr>
            <w:lang w:val="ar_AE" w:bidi="ar_AE"/>
          </w:rPr>
          <w:rPr>
            <w:color w:val="0000EE"/>
            <w:u w:val="single"/>
          </w:rPr>
          <w:t>6:16</w:t>
        </w:r>
      </w:hyperlink>
      <w:r>
        <w:rPr>
          <w:lang w:val="ar_AE" w:bidi="ar_AE"/>
        </w:rPr>
        <w:t xml:space="preserve">). تظهر المسيرة الآشورية إلى إسرائيل ويهوذا في عام 701 قبل الميلاد في </w:t>
      </w:r>
      <w:hyperlink r:id="rId45">
        <w:r>
          <w:rPr>
            <w:lang w:val="ar_AE" w:bidi="ar_AE"/>
          </w:rPr>
          <w:rPr>
            <w:color w:val="0000EE"/>
            <w:u w:val="single"/>
          </w:rPr>
          <w:t>1:10–15</w:t>
        </w:r>
      </w:hyperlink>
      <w:r>
        <w:rPr>
          <w:lang w:val="ar_AE" w:bidi="ar_AE"/>
        </w:rPr>
        <w:t>. قُدِّمتْ نبوءة ميخا بشأن سقوط أورشليم (</w:t>
      </w:r>
      <w:hyperlink r:id="rId46">
        <w:r>
          <w:rPr>
            <w:lang w:val="ar_AE" w:bidi="ar_AE"/>
          </w:rPr>
          <w:rPr>
            <w:color w:val="0000EE"/>
            <w:u w:val="single"/>
          </w:rPr>
          <w:t>3:12</w:t>
        </w:r>
      </w:hyperlink>
      <w:r>
        <w:rPr>
          <w:lang w:val="ar_AE" w:bidi="ar_AE"/>
        </w:rPr>
        <w:t>) خلال حكم حزقيا (728–686 قبل الميلاد) ويُشار إليها بعد ذلك بكثير من قبل إرميا (</w:t>
      </w:r>
      <w:hyperlink r:id="rId47">
        <w:r>
          <w:rPr>
            <w:lang w:val="ar_AE" w:bidi="ar_AE"/>
          </w:rPr>
          <w:rPr>
            <w:color w:val="0000EE"/>
            <w:u w:val="single"/>
          </w:rPr>
          <w:t>إرميا 26:16–19</w:t>
        </w:r>
      </w:hyperlink>
      <w:r>
        <w:rPr>
          <w:lang w:val="ar_AE" w:bidi="ar_AE"/>
        </w:rPr>
        <w:t xml:space="preserve">). يبدو أن خدمة ميخا تزامنتْ تزامنًا وثيقًا مع خدمة إشعياء؛ يُدعِّم تشابُه </w:t>
      </w:r>
      <w:hyperlink r:id="rId48">
        <w:r>
          <w:rPr>
            <w:lang w:val="ar_AE" w:bidi="ar_AE"/>
          </w:rPr>
          <w:rPr>
            <w:color w:val="0000EE"/>
            <w:u w:val="single"/>
          </w:rPr>
          <w:t>إشعياء 2:2–5</w:t>
        </w:r>
      </w:hyperlink>
      <w:r>
        <w:rPr>
          <w:lang w:val="ar_AE" w:bidi="ar_AE"/>
        </w:rPr>
        <w:t xml:space="preserve"> مع </w:t>
      </w:r>
      <w:hyperlink r:id="rId49">
        <w:r>
          <w:rPr>
            <w:lang w:val="ar_AE" w:bidi="ar_AE"/>
          </w:rPr>
          <w:rPr>
            <w:color w:val="0000EE"/>
            <w:u w:val="single"/>
          </w:rPr>
          <w:t>ميخا 4:1–4</w:t>
        </w:r>
      </w:hyperlink>
      <w:r>
        <w:rPr>
          <w:lang w:val="ar_AE" w:bidi="ar_AE"/>
        </w:rPr>
        <w:t xml:space="preserve"> هذا الاستنتاج.</w:t>
      </w:r>
    </w:p>
    <w:p>
      <w:pPr>
        <w:pStyle w:val="Heading2"/>
        <w:bidi/>
      </w:pPr>
      <w:r>
        <w:rPr>
          <w:lang w:val="ar_AE" w:bidi="ar_AE"/>
        </w:rPr>
        <w:t>المعنى والرسالة</w:t>
      </w:r>
    </w:p>
    <w:p>
      <w:pPr>
        <w:bidi/>
      </w:pPr>
      <w:r>
        <w:rPr>
          <w:lang w:val="ar_AE" w:bidi="ar_AE"/>
        </w:rPr>
      </w:r>
      <w:r>
        <w:rPr>
          <w:lang w:val="ar_AE" w:bidi="ar_AE"/>
        </w:rPr>
        <w:t>رسالة ميخا واضحة: ستتحقق خطط الله لشعبه، وستعرِف الأمم الله مِن خلال شعبه إسرائيل وحاكمه المختار (</w:t>
      </w:r>
      <w:hyperlink r:id="rId50">
        <w:r>
          <w:rPr>
            <w:lang w:val="ar_AE" w:bidi="ar_AE"/>
          </w:rPr>
          <w:rPr>
            <w:color w:val="0000EE"/>
            <w:u w:val="single"/>
          </w:rPr>
          <w:t>5:2</w:t>
        </w:r>
      </w:hyperlink>
      <w:r>
        <w:rPr>
          <w:lang w:val="ar_AE" w:bidi="ar_AE"/>
        </w:rPr>
        <w:t>). ستتحقق وعود الرب الأمينة لإبراهيم ويعقوب.</w:t>
      </w:r>
    </w:p>
    <w:p>
      <w:pPr>
        <w:bidi/>
      </w:pPr>
      <w:r>
        <w:rPr>
          <w:lang w:val="ar_AE" w:bidi="ar_AE"/>
        </w:rPr>
      </w:r>
      <w:r>
        <w:rPr>
          <w:lang w:val="ar_AE" w:bidi="ar_AE"/>
        </w:rPr>
        <w:t xml:space="preserve">مثل إشعياء، أعلن ميخا أن رجاء إسرائيل لن يكون في الهروب من الدينونة، بل سيتحقق </w:t>
      </w:r>
      <w:r>
        <w:rPr>
          <w:i/>
          <w:lang w:val="ar_AE" w:bidi="ar_AE"/>
        </w:rPr>
        <w:t>مِن خلال</w:t>
      </w:r>
      <w:r>
        <w:rPr>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lang w:val="ar_AE" w:bidi="ar_AE"/>
        </w:rPr>
      </w:r>
      <w:r>
        <w:rPr>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51">
        <w:r>
          <w:rPr>
            <w:lang w:val="ar_AE" w:bidi="ar_AE"/>
          </w:rPr>
          <w:rPr>
            <w:color w:val="0000EE"/>
            <w:u w:val="single"/>
          </w:rPr>
          <w:t>2 بط 3:13</w:t>
        </w:r>
      </w:hyperlink>
      <w:r>
        <w:rPr>
          <w:lang w:val="ar_AE" w:bidi="ar_AE"/>
        </w:rPr>
        <w:t xml:space="preserve">). بعد سنوات عدّة من ميخا، سيرسل الله "المُتسلِّط على إسرائيل"، المولود في بيت لحم، لقيادة قطيعه وجلب السلام لشعبه (انظر </w:t>
      </w:r>
      <w:hyperlink r:id="rId52">
        <w:r>
          <w:rPr>
            <w:lang w:val="ar_AE" w:bidi="ar_AE"/>
          </w:rPr>
          <w:rPr>
            <w:color w:val="0000EE"/>
            <w:u w:val="single"/>
          </w:rPr>
          <w:t>ميخا 5:2–5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5:32-2Kgs15:38" TargetMode="External"/><Relationship Id="rId16" Type="http://schemas.openxmlformats.org/officeDocument/2006/relationships/hyperlink" Target="https://ref.ly/2Kgs16:1-2Kgs16:4" TargetMode="External"/><Relationship Id="rId17" Type="http://schemas.openxmlformats.org/officeDocument/2006/relationships/hyperlink" Target="https://ref.ly/2Kgs16:5-2Kgs16:6" TargetMode="External"/><Relationship Id="rId18" Type="http://schemas.openxmlformats.org/officeDocument/2006/relationships/hyperlink" Target="https://ref.ly/2Chr28:18" TargetMode="External"/><Relationship Id="rId19" Type="http://schemas.openxmlformats.org/officeDocument/2006/relationships/hyperlink" Target="https://ref.ly/2Kgs16:7-2Kgs16:9" TargetMode="External"/><Relationship Id="rId20" Type="http://schemas.openxmlformats.org/officeDocument/2006/relationships/hyperlink" Target="https://ref.ly/2Kgs16:10-2Kgs16:13" TargetMode="External"/><Relationship Id="rId21" Type="http://schemas.openxmlformats.org/officeDocument/2006/relationships/hyperlink" Target="https://ref.ly/2Kgs16:14-2Kgs16:20" TargetMode="External"/><Relationship Id="rId22" Type="http://schemas.openxmlformats.org/officeDocument/2006/relationships/hyperlink" Target="https://ref.ly/2Kgs18:1-2Kgs19:37" TargetMode="External"/><Relationship Id="rId23" Type="http://schemas.openxmlformats.org/officeDocument/2006/relationships/hyperlink" Target="https://ref.ly/2Kgs20:12-2Kgs20:21" TargetMode="External"/><Relationship Id="rId24" Type="http://schemas.openxmlformats.org/officeDocument/2006/relationships/hyperlink" Target="https://ref.ly/2Kgs15:28" TargetMode="External"/><Relationship Id="rId25" Type="http://schemas.openxmlformats.org/officeDocument/2006/relationships/hyperlink" Target="https://ref.ly/2Kgs15:29" TargetMode="External"/><Relationship Id="rId26" Type="http://schemas.openxmlformats.org/officeDocument/2006/relationships/hyperlink" Target="https://ref.ly/2Kgs15:30-2Kgs15:31" TargetMode="External"/><Relationship Id="rId27" Type="http://schemas.openxmlformats.org/officeDocument/2006/relationships/hyperlink" Target="https://ref.ly/2Kgs17:5-2Kgs17:6" TargetMode="External"/><Relationship Id="rId28" Type="http://schemas.openxmlformats.org/officeDocument/2006/relationships/hyperlink" Target="https://ref.ly/2Kgs17:24-2Kgs17:41" TargetMode="External"/><Relationship Id="rId29" Type="http://schemas.openxmlformats.org/officeDocument/2006/relationships/hyperlink" Target="https://ref.ly/Mic1:1" TargetMode="External"/><Relationship Id="rId30" Type="http://schemas.openxmlformats.org/officeDocument/2006/relationships/hyperlink" Target="https://ref.ly/Mic1:2-Mic2:13" TargetMode="External"/><Relationship Id="rId31" Type="http://schemas.openxmlformats.org/officeDocument/2006/relationships/hyperlink" Target="https://ref.ly/Mic3:1-Mic5:15" TargetMode="External"/><Relationship Id="rId32" Type="http://schemas.openxmlformats.org/officeDocument/2006/relationships/hyperlink" Target="https://ref.ly/Mic6:1-Mic7:6" TargetMode="External"/><Relationship Id="rId33" Type="http://schemas.openxmlformats.org/officeDocument/2006/relationships/hyperlink" Target="https://ref.ly/Mic2:12-Mic2:13" TargetMode="External"/><Relationship Id="rId34" Type="http://schemas.openxmlformats.org/officeDocument/2006/relationships/hyperlink" Target="https://ref.ly/Mic4:1-Mic4:8" TargetMode="External"/><Relationship Id="rId35" Type="http://schemas.openxmlformats.org/officeDocument/2006/relationships/hyperlink" Target="https://ref.ly/Mic4:13" TargetMode="External"/><Relationship Id="rId36" Type="http://schemas.openxmlformats.org/officeDocument/2006/relationships/hyperlink" Target="https://ref.ly/Mic5:2-Mic5:15" TargetMode="External"/><Relationship Id="rId37" Type="http://schemas.openxmlformats.org/officeDocument/2006/relationships/hyperlink" Target="https://ref.ly/Mic7:7-Mic7:20" TargetMode="External"/><Relationship Id="rId38" Type="http://schemas.openxmlformats.org/officeDocument/2006/relationships/hyperlink" Target="https://ref.ly/Mic4:6-Mic4:8" TargetMode="External"/><Relationship Id="rId39" Type="http://schemas.openxmlformats.org/officeDocument/2006/relationships/hyperlink" Target="https://ref.ly/Mic7:8-Mic7:20" TargetMode="External"/><Relationship Id="rId40" Type="http://schemas.openxmlformats.org/officeDocument/2006/relationships/hyperlink" Target="https://ref.ly/Isa52:4-Isa52:12" TargetMode="External"/><Relationship Id="rId41" Type="http://schemas.openxmlformats.org/officeDocument/2006/relationships/hyperlink" Target="https://ref.ly/Hos11:10-Hos11:11" TargetMode="External"/><Relationship Id="rId42" Type="http://schemas.openxmlformats.org/officeDocument/2006/relationships/hyperlink" Target="https://ref.ly/Amos9:11-Amos9:15" TargetMode="External"/><Relationship Id="rId43" Type="http://schemas.openxmlformats.org/officeDocument/2006/relationships/hyperlink" Target="https://ref.ly/Mic1:6" TargetMode="External"/><Relationship Id="rId44" Type="http://schemas.openxmlformats.org/officeDocument/2006/relationships/hyperlink" Target="https://ref.ly/Mic6:16" TargetMode="External"/><Relationship Id="rId45" Type="http://schemas.openxmlformats.org/officeDocument/2006/relationships/hyperlink" Target="https://ref.ly/Mic1:10-Mic1:15" TargetMode="External"/><Relationship Id="rId46" Type="http://schemas.openxmlformats.org/officeDocument/2006/relationships/hyperlink" Target="https://ref.ly/Mic3:12" TargetMode="External"/><Relationship Id="rId47" Type="http://schemas.openxmlformats.org/officeDocument/2006/relationships/hyperlink" Target="https://ref.ly/Jer26:16-Jer26:19" TargetMode="External"/><Relationship Id="rId48" Type="http://schemas.openxmlformats.org/officeDocument/2006/relationships/hyperlink" Target="https://ref.ly/Isa2:2-Isa2:5" TargetMode="External"/><Relationship Id="rId49" Type="http://schemas.openxmlformats.org/officeDocument/2006/relationships/hyperlink" Target="https://ref.ly/Mic4:1-Mic4:4" TargetMode="External"/><Relationship Id="rId50" Type="http://schemas.openxmlformats.org/officeDocument/2006/relationships/hyperlink" Target="https://ref.ly/Mic5:2" TargetMode="External"/><Relationship Id="rId51" Type="http://schemas.openxmlformats.org/officeDocument/2006/relationships/hyperlink" Target="https://ref.ly/2Pet3:13" TargetMode="External"/><Relationship Id="rId52"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