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سِفر حبقّوق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lang w:val="ar_AE" w:bidi="ar_AE"/>
        </w:rPr>
        <w:t>أحداث وخلفية السِفر</w:t>
      </w:r>
    </w:p>
    <w:p>
      <w:pPr>
        <w:bidi/>
      </w:pPr>
      <w:r>
        <w:rPr>
          <w:lang w:val="ar_AE" w:bidi="ar_AE"/>
        </w:rPr>
      </w:r>
      <w:r>
        <w:rPr>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lang w:val="ar_AE" w:bidi="ar_AE"/>
        </w:rPr>
      </w:r>
      <w:r>
        <w:rPr>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lang w:val="ar_AE" w:bidi="ar_AE"/>
        </w:rPr>
      </w:r>
      <w:r>
        <w:rPr>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lang w:val="ar_AE" w:bidi="ar_AE"/>
        </w:rPr>
      </w:r>
      <w:r>
        <w:rPr>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5">
        <w:r>
          <w:rPr>
            <w:lang w:val="ar_AE" w:bidi="ar_AE"/>
          </w:rPr>
          <w:rPr>
            <w:color w:val="0000EE"/>
            <w:u w:val="single"/>
          </w:rPr>
          <w:t>2 ملوك 21:1–9</w:t>
        </w:r>
      </w:hyperlink>
      <w:r>
        <w:rPr>
          <w:lang w:val="ar_AE" w:bidi="ar_AE"/>
        </w:rPr>
        <w:t xml:space="preserve">؛ </w:t>
      </w:r>
      <w:hyperlink r:id="rId16">
        <w:r>
          <w:rPr>
            <w:lang w:val="ar_AE" w:bidi="ar_AE"/>
          </w:rPr>
          <w:rPr>
            <w:color w:val="0000EE"/>
            <w:u w:val="single"/>
          </w:rPr>
          <w:t>2 أخبار الأيام 33:2–9</w:t>
        </w:r>
      </w:hyperlink>
      <w:r>
        <w:rPr>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7">
        <w:r>
          <w:rPr>
            <w:lang w:val="ar_AE" w:bidi="ar_AE"/>
          </w:rPr>
          <w:rPr>
            <w:color w:val="0000EE"/>
            <w:u w:val="single"/>
          </w:rPr>
          <w:t>2 أخبار الأيام 33:15–19</w:t>
        </w:r>
      </w:hyperlink>
      <w:r>
        <w:rPr>
          <w:lang w:val="ar_AE" w:bidi="ar_AE"/>
        </w:rPr>
        <w:t>) إلى تغيير حقيقي. وأعاد ابنه آمون إحياء الممارسات الوثنية في المملكة (</w:t>
      </w:r>
      <w:hyperlink r:id="rId18">
        <w:r>
          <w:rPr>
            <w:lang w:val="ar_AE" w:bidi="ar_AE"/>
          </w:rPr>
          <w:rPr>
            <w:color w:val="0000EE"/>
            <w:u w:val="single"/>
          </w:rPr>
          <w:t>2 ملوك 21:21–22</w:t>
        </w:r>
      </w:hyperlink>
      <w:r>
        <w:rPr>
          <w:lang w:val="ar_AE" w:bidi="ar_AE"/>
        </w:rPr>
        <w:t>). ولم تؤدِ الخِدْمَات النبوية اللاحقة التي قام بها صفنيا، وإرميا وحزقيال، وجهود الإصلاح التي قام بها يوشيّا (</w:t>
      </w:r>
      <w:hyperlink r:id="rId19">
        <w:r>
          <w:rPr>
            <w:lang w:val="ar_AE" w:bidi="ar_AE"/>
          </w:rPr>
          <w:rPr>
            <w:color w:val="0000EE"/>
            <w:u w:val="single"/>
          </w:rPr>
          <w:t>2 أخبار الأيام 34:1–35:19</w:t>
        </w:r>
      </w:hyperlink>
      <w:r>
        <w:rPr>
          <w:lang w:val="ar_AE" w:bidi="ar_AE"/>
        </w:rPr>
        <w:t>) إلى تغيير دائم أيضًا. أُدين ملوك يهوذا اللاحقين جميعًا بسبب شرِّهم (</w:t>
      </w:r>
      <w:hyperlink r:id="rId20">
        <w:r>
          <w:rPr>
            <w:lang w:val="ar_AE" w:bidi="ar_AE"/>
          </w:rPr>
          <w:rPr>
            <w:color w:val="0000EE"/>
            <w:u w:val="single"/>
          </w:rPr>
          <w:t>2 ملوك 23:32</w:t>
        </w:r>
      </w:hyperlink>
      <w:r>
        <w:rPr>
          <w:lang w:val="ar_AE" w:bidi="ar_AE"/>
        </w:rPr>
        <w:t xml:space="preserve">، </w:t>
      </w:r>
      <w:hyperlink r:id="rId21">
        <w:r>
          <w:rPr>
            <w:lang w:val="ar_AE" w:bidi="ar_AE"/>
          </w:rPr>
          <w:rPr>
            <w:color w:val="0000EE"/>
            <w:u w:val="single"/>
          </w:rPr>
          <w:t>37</w:t>
        </w:r>
      </w:hyperlink>
      <w:r>
        <w:rPr>
          <w:lang w:val="ar_AE" w:bidi="ar_AE"/>
        </w:rPr>
        <w:t xml:space="preserve">؛ </w:t>
      </w:r>
      <w:hyperlink r:id="rId22">
        <w:r>
          <w:rPr>
            <w:lang w:val="ar_AE" w:bidi="ar_AE"/>
          </w:rPr>
          <w:rPr>
            <w:color w:val="0000EE"/>
            <w:u w:val="single"/>
          </w:rPr>
          <w:t>24:19</w:t>
        </w:r>
      </w:hyperlink>
      <w:r>
        <w:rPr>
          <w:lang w:val="ar_AE" w:bidi="ar_AE"/>
        </w:rPr>
        <w:t xml:space="preserve">؛ </w:t>
      </w:r>
      <w:hyperlink r:id="rId23">
        <w:r>
          <w:rPr>
            <w:lang w:val="ar_AE" w:bidi="ar_AE"/>
          </w:rPr>
          <w:rPr>
            <w:color w:val="0000EE"/>
            <w:u w:val="single"/>
          </w:rPr>
          <w:t>إرميا 22</w:t>
        </w:r>
      </w:hyperlink>
      <w:r>
        <w:rPr>
          <w:lang w:val="ar_AE" w:bidi="ar_AE"/>
        </w:rPr>
        <w:t xml:space="preserve">؛ </w:t>
      </w:r>
      <w:hyperlink r:id="rId24">
        <w:r>
          <w:rPr>
            <w:lang w:val="ar_AE" w:bidi="ar_AE"/>
          </w:rPr>
          <w:rPr>
            <w:color w:val="0000EE"/>
            <w:u w:val="single"/>
          </w:rPr>
          <w:t>27:1–22</w:t>
        </w:r>
      </w:hyperlink>
      <w:r>
        <w:rPr>
          <w:lang w:val="ar_AE" w:bidi="ar_AE"/>
        </w:rPr>
        <w:t xml:space="preserve">؛ </w:t>
      </w:r>
      <w:hyperlink r:id="rId25">
        <w:r>
          <w:rPr>
            <w:lang w:val="ar_AE" w:bidi="ar_AE"/>
          </w:rPr>
          <w:rPr>
            <w:color w:val="0000EE"/>
            <w:u w:val="single"/>
          </w:rPr>
          <w:t>36:30–31</w:t>
        </w:r>
      </w:hyperlink>
      <w:r>
        <w:rPr>
          <w:lang w:val="ar_AE" w:bidi="ar_AE"/>
        </w:rPr>
        <w:t>). حتى خلال إصلاحات يوشيّا، ظل شعب يهوذا متصلِّبًا من جهة ارتدادهم.</w:t>
      </w:r>
    </w:p>
    <w:p>
      <w:pPr>
        <w:bidi/>
      </w:pPr>
      <w:r>
        <w:rPr>
          <w:lang w:val="ar_AE" w:bidi="ar_AE"/>
        </w:rPr>
      </w:r>
      <w:r>
        <w:rPr>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6">
        <w:r>
          <w:rPr>
            <w:lang w:val="ar_AE" w:bidi="ar_AE"/>
          </w:rPr>
          <w:rPr>
            <w:color w:val="0000EE"/>
            <w:u w:val="single"/>
          </w:rPr>
          <w:t>حبقوق 1:2–4</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6">
        <w:r>
          <w:rPr>
            <w:lang w:val="ar_AE" w:bidi="ar_AE"/>
          </w:rPr>
          <w:rPr>
            <w:color w:val="0000EE"/>
            <w:u w:val="single"/>
          </w:rPr>
          <w:t>1:2–4</w:t>
        </w:r>
      </w:hyperlink>
      <w:r>
        <w:rPr>
          <w:lang w:val="ar_AE" w:bidi="ar_AE"/>
        </w:rPr>
        <w:t>). كان جواب الله الأول عليه هو أنه على وشك التعامل مع عنف يهوذا مِن خلال جلب شعب أكثر عنفًا، أي البابليين، ليحكموا عليهم (</w:t>
      </w:r>
      <w:hyperlink r:id="rId27">
        <w:r>
          <w:rPr>
            <w:lang w:val="ar_AE" w:bidi="ar_AE"/>
          </w:rPr>
          <w:rPr>
            <w:color w:val="0000EE"/>
            <w:u w:val="single"/>
          </w:rPr>
          <w:t>1:5–11</w:t>
        </w:r>
      </w:hyperlink>
      <w:r>
        <w:rPr>
          <w:lang w:val="ar_AE" w:bidi="ar_AE"/>
        </w:rPr>
        <w:t>).</w:t>
      </w:r>
    </w:p>
    <w:p>
      <w:pPr>
        <w:bidi/>
      </w:pPr>
      <w:r>
        <w:rPr>
          <w:lang w:val="ar_AE" w:bidi="ar_AE"/>
        </w:rPr>
      </w:r>
      <w:r>
        <w:rPr>
          <w:lang w:val="ar_AE" w:bidi="ar_AE"/>
        </w:rPr>
        <w:t>يزيد هذا الرد من حَيْرَة حبقّوق (</w:t>
      </w:r>
      <w:hyperlink r:id="rId28">
        <w:r>
          <w:rPr>
            <w:lang w:val="ar_AE" w:bidi="ar_AE"/>
          </w:rPr>
          <w:rPr>
            <w:color w:val="0000EE"/>
            <w:u w:val="single"/>
          </w:rPr>
          <w:t>1:12–2:1</w:t>
        </w:r>
      </w:hyperlink>
      <w:r>
        <w:rPr>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9">
        <w:r>
          <w:rPr>
            <w:lang w:val="ar_AE" w:bidi="ar_AE"/>
          </w:rPr>
          <w:rPr>
            <w:color w:val="0000EE"/>
            <w:u w:val="single"/>
          </w:rPr>
          <w:t>2:2–5</w:t>
        </w:r>
      </w:hyperlink>
      <w:r>
        <w:rPr>
          <w:lang w:val="ar_AE" w:bidi="ar_AE"/>
        </w:rPr>
        <w:t>). فقد فشل كلاهما في الحفاظ على مقاييس الله بشأن الإيمان والأخلاق، واستحق كلاهما حُكم الله. في سلسلة من خمس قصائد تهكمية (</w:t>
      </w:r>
      <w:hyperlink r:id="rId30">
        <w:r>
          <w:rPr>
            <w:lang w:val="ar_AE" w:bidi="ar_AE"/>
          </w:rPr>
          <w:rPr>
            <w:color w:val="0000EE"/>
            <w:u w:val="single"/>
          </w:rPr>
          <w:t>2:6–20</w:t>
        </w:r>
      </w:hyperlink>
      <w:r>
        <w:rPr>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lang w:val="ar_AE" w:bidi="ar_AE"/>
        </w:rPr>
      </w:r>
      <w:r>
        <w:rPr>
          <w:lang w:val="ar_AE" w:bidi="ar_AE"/>
        </w:rPr>
        <w:t>يبدأ الإصحاح الأخير بصلاة حبقّوق لطلب رحمة الله على يهوذا حين يحين وقت تأديبهم (</w:t>
      </w:r>
      <w:hyperlink r:id="rId31">
        <w:r>
          <w:rPr>
            <w:lang w:val="ar_AE" w:bidi="ar_AE"/>
          </w:rPr>
          <w:rPr>
            <w:color w:val="0000EE"/>
            <w:u w:val="single"/>
          </w:rPr>
          <w:t>3:1–2</w:t>
        </w:r>
      </w:hyperlink>
      <w:r>
        <w:rPr>
          <w:lang w:val="ar_AE" w:bidi="ar_AE"/>
        </w:rPr>
        <w:t>). ثم يسجل حبقّوق مزمور تسبيح يُظهر بأسلوب شعري قصة فداء الله لشعبه خلال الخروج من مصر (</w:t>
      </w:r>
      <w:hyperlink r:id="rId32">
        <w:r>
          <w:rPr>
            <w:lang w:val="ar_AE" w:bidi="ar_AE"/>
          </w:rPr>
          <w:rPr>
            <w:color w:val="0000EE"/>
            <w:u w:val="single"/>
          </w:rPr>
          <w:t>3:3–15</w:t>
        </w:r>
      </w:hyperlink>
      <w:r>
        <w:rPr>
          <w:lang w:val="ar_AE" w:bidi="ar_AE"/>
        </w:rPr>
        <w:t>). يختتم حبقّوق سفره بإعلان الالتزام بالعهد، وإشارة موسيقية (</w:t>
      </w:r>
      <w:hyperlink r:id="rId33">
        <w:r>
          <w:rPr>
            <w:lang w:val="ar_AE" w:bidi="ar_AE"/>
          </w:rPr>
          <w:rPr>
            <w:color w:val="0000EE"/>
            <w:u w:val="single"/>
          </w:rPr>
          <w:t>3:16–19</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لا يُعرف الكثير عن حبقوق سوى أنه كان نبيًا ليهوذا. وتشير إحدى مخطوطات </w:t>
      </w:r>
      <w:r>
        <w:rPr>
          <w:i/>
          <w:lang w:val="ar_AE" w:bidi="ar_AE"/>
        </w:rPr>
        <w:t>بيل والتنين</w:t>
      </w:r>
      <w:r>
        <w:rPr>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4">
        <w:r>
          <w:rPr>
            <w:lang w:val="ar_AE" w:bidi="ar_AE"/>
          </w:rPr>
          <w:rPr>
            <w:color w:val="0000EE"/>
            <w:u w:val="single"/>
          </w:rPr>
          <w:t>3:1،</w:t>
        </w:r>
      </w:hyperlink>
      <w:r>
        <w:rPr>
          <w:lang w:val="ar_AE" w:bidi="ar_AE"/>
        </w:rPr>
        <w:t xml:space="preserve"> </w:t>
      </w:r>
      <w:hyperlink r:id="rId35">
        <w:r>
          <w:rPr>
            <w:lang w:val="ar_AE" w:bidi="ar_AE"/>
          </w:rPr>
          <w:rPr>
            <w:color w:val="0000EE"/>
            <w:u w:val="single"/>
          </w:rPr>
          <w:t>3،</w:t>
        </w:r>
      </w:hyperlink>
      <w:r>
        <w:rPr>
          <w:lang w:val="ar_AE" w:bidi="ar_AE"/>
        </w:rPr>
        <w:t xml:space="preserve"> </w:t>
      </w:r>
      <w:hyperlink r:id="rId36">
        <w:r>
          <w:rPr>
            <w:lang w:val="ar_AE" w:bidi="ar_AE"/>
          </w:rPr>
          <w:rPr>
            <w:color w:val="0000EE"/>
            <w:u w:val="single"/>
          </w:rPr>
          <w:t>9،</w:t>
        </w:r>
      </w:hyperlink>
      <w:r>
        <w:rPr>
          <w:lang w:val="ar_AE" w:bidi="ar_AE"/>
        </w:rPr>
        <w:t xml:space="preserve"> </w:t>
      </w:r>
      <w:hyperlink r:id="rId37">
        <w:r>
          <w:rPr>
            <w:lang w:val="ar_AE" w:bidi="ar_AE"/>
          </w:rPr>
          <w:rPr>
            <w:color w:val="0000EE"/>
            <w:u w:val="single"/>
          </w:rPr>
          <w:t>13،</w:t>
        </w:r>
      </w:hyperlink>
      <w:r>
        <w:rPr>
          <w:lang w:val="ar_AE" w:bidi="ar_AE"/>
        </w:rPr>
        <w:t xml:space="preserve"> </w:t>
      </w:r>
      <w:hyperlink r:id="rId38">
        <w:r>
          <w:rPr>
            <w:lang w:val="ar_AE" w:bidi="ar_AE"/>
          </w:rPr>
          <w:rPr>
            <w:color w:val="0000EE"/>
            <w:u w:val="single"/>
          </w:rPr>
          <w:t>19</w:t>
        </w:r>
      </w:hyperlink>
      <w:r>
        <w:rPr>
          <w:lang w:val="ar_AE" w:bidi="ar_AE"/>
        </w:rPr>
        <w:t xml:space="preserve">)، حيث كان قادة الموسيقى في الهيكل من اللاويين (انظر </w:t>
      </w:r>
      <w:hyperlink r:id="rId39">
        <w:r>
          <w:rPr>
            <w:lang w:val="ar_AE" w:bidi="ar_AE"/>
          </w:rPr>
          <w:rPr>
            <w:color w:val="0000EE"/>
            <w:u w:val="single"/>
          </w:rPr>
          <w:t>1 أخبار 6:31–47؛</w:t>
        </w:r>
      </w:hyperlink>
      <w:r>
        <w:rPr>
          <w:lang w:val="ar_AE" w:bidi="ar_AE"/>
        </w:rPr>
        <w:t xml:space="preserve"> </w:t>
      </w:r>
      <w:hyperlink r:id="rId40">
        <w:r>
          <w:rPr>
            <w:lang w:val="ar_AE" w:bidi="ar_AE"/>
          </w:rPr>
          <w:rPr>
            <w:color w:val="0000EE"/>
            <w:u w:val="single"/>
          </w:rPr>
          <w:t>25:1–31</w:t>
        </w:r>
      </w:hyperlink>
      <w:r>
        <w:rPr>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lang w:val="ar_AE" w:bidi="ar_AE"/>
        </w:rPr>
        <w:t>التاريخ</w:t>
      </w:r>
    </w:p>
    <w:p>
      <w:pPr>
        <w:bidi/>
      </w:pPr>
      <w:r>
        <w:rPr>
          <w:lang w:val="ar_AE" w:bidi="ar_AE"/>
        </w:rPr>
      </w:r>
      <w:r>
        <w:rPr>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6">
        <w:r>
          <w:rPr>
            <w:lang w:val="ar_AE" w:bidi="ar_AE"/>
          </w:rPr>
          <w:rPr>
            <w:color w:val="0000EE"/>
            <w:u w:val="single"/>
          </w:rPr>
          <w:t>حب 1:2–4</w:t>
        </w:r>
      </w:hyperlink>
      <w:r>
        <w:rPr>
          <w:lang w:val="ar_AE" w:bidi="ar_AE"/>
        </w:rPr>
        <w:t>)، واهتمامه بالإمبراطورية البابلية الجديدة (</w:t>
      </w:r>
      <w:hyperlink r:id="rId27">
        <w:r>
          <w:rPr>
            <w:lang w:val="ar_AE" w:bidi="ar_AE"/>
          </w:rPr>
          <w:rPr>
            <w:color w:val="0000EE"/>
            <w:u w:val="single"/>
          </w:rPr>
          <w:t>1:5–11؛</w:t>
        </w:r>
      </w:hyperlink>
      <w:r>
        <w:rPr>
          <w:lang w:val="ar_AE" w:bidi="ar_AE"/>
        </w:rPr>
        <w:t xml:space="preserve"> </w:t>
      </w:r>
      <w:hyperlink r:id="rId30">
        <w:r>
          <w:rPr>
            <w:lang w:val="ar_AE" w:bidi="ar_AE"/>
          </w:rPr>
          <w:rPr>
            <w:color w:val="0000EE"/>
            <w:u w:val="single"/>
          </w:rPr>
          <w:t>2:6–20</w:t>
        </w:r>
      </w:hyperlink>
      <w:r>
        <w:rPr>
          <w:lang w:val="ar_AE" w:bidi="ar_AE"/>
        </w:rPr>
        <w:t>) أن يكون تاريخ كتابة السفر في هذه الحقبة الزمنية.</w:t>
      </w:r>
    </w:p>
    <w:p>
      <w:pPr>
        <w:bidi/>
      </w:pPr>
      <w:r>
        <w:rPr>
          <w:lang w:val="ar_AE" w:bidi="ar_AE"/>
        </w:rPr>
      </w:r>
      <w:r>
        <w:rPr>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41">
        <w:r>
          <w:rPr>
            <w:lang w:val="ar_AE" w:bidi="ar_AE"/>
          </w:rPr>
          <w:rPr>
            <w:color w:val="0000EE"/>
            <w:u w:val="single"/>
          </w:rPr>
          <w:t>2 ملوك 24:1–3</w:t>
        </w:r>
      </w:hyperlink>
      <w:r>
        <w:rPr>
          <w:lang w:val="ar_AE" w:bidi="ar_AE"/>
        </w:rPr>
        <w:t>) نبوات بالدينونة (</w:t>
      </w:r>
      <w:hyperlink r:id="rId42">
        <w:r>
          <w:rPr>
            <w:lang w:val="ar_AE" w:bidi="ar_AE"/>
          </w:rPr>
          <w:rPr>
            <w:color w:val="0000EE"/>
            <w:u w:val="single"/>
          </w:rPr>
          <w:t>إرميا 22:18–19؛</w:t>
        </w:r>
      </w:hyperlink>
      <w:r>
        <w:rPr>
          <w:lang w:val="ar_AE" w:bidi="ar_AE"/>
        </w:rPr>
        <w:t xml:space="preserve"> </w:t>
      </w:r>
      <w:hyperlink r:id="rId43">
        <w:r>
          <w:rPr>
            <w:lang w:val="ar_AE" w:bidi="ar_AE"/>
          </w:rPr>
          <w:rPr>
            <w:color w:val="0000EE"/>
            <w:u w:val="single"/>
          </w:rPr>
          <w:t>26:3–6؛</w:t>
        </w:r>
      </w:hyperlink>
      <w:r>
        <w:rPr>
          <w:lang w:val="ar_AE" w:bidi="ar_AE"/>
        </w:rPr>
        <w:t xml:space="preserve"> </w:t>
      </w:r>
      <w:hyperlink r:id="rId44">
        <w:r>
          <w:rPr>
            <w:lang w:val="ar_AE" w:bidi="ar_AE"/>
          </w:rPr>
          <w:rPr>
            <w:color w:val="0000EE"/>
            <w:u w:val="single"/>
          </w:rPr>
          <w:t>36:27–32</w:t>
        </w:r>
      </w:hyperlink>
      <w:r>
        <w:rPr>
          <w:lang w:val="ar_AE" w:bidi="ar_AE"/>
        </w:rPr>
        <w:t>) وتحذيرات من الغزو البابليّ (</w:t>
      </w:r>
      <w:hyperlink r:id="rId45">
        <w:r>
          <w:rPr>
            <w:lang w:val="ar_AE" w:bidi="ar_AE"/>
          </w:rPr>
          <w:rPr>
            <w:color w:val="0000EE"/>
            <w:u w:val="single"/>
          </w:rPr>
          <w:t>إرميا 25</w:t>
        </w:r>
      </w:hyperlink>
      <w:r>
        <w:rPr>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6">
        <w:r>
          <w:rPr>
            <w:lang w:val="ar_AE" w:bidi="ar_AE"/>
          </w:rPr>
          <w:rPr>
            <w:color w:val="0000EE"/>
            <w:u w:val="single"/>
          </w:rPr>
          <w:t>2 أخبار الأيام 34:1–7</w:t>
        </w:r>
      </w:hyperlink>
      <w:r>
        <w:rPr>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7">
        <w:r>
          <w:rPr>
            <w:lang w:val="ar_AE" w:bidi="ar_AE"/>
          </w:rPr>
          <w:rPr>
            <w:color w:val="0000EE"/>
            <w:u w:val="single"/>
          </w:rPr>
          <w:t>2 ملوك 21:16–17</w:t>
        </w:r>
      </w:hyperlink>
      <w:r>
        <w:rPr>
          <w:lang w:val="ar_AE" w:bidi="ar_AE"/>
        </w:rPr>
        <w:t>) وإعادة تأسيس العبادة الكنعانية والشعائر الوثنية (</w:t>
      </w:r>
      <w:hyperlink r:id="rId48">
        <w:r>
          <w:rPr>
            <w:lang w:val="ar_AE" w:bidi="ar_AE"/>
          </w:rPr>
          <w:rPr>
            <w:color w:val="0000EE"/>
            <w:u w:val="single"/>
          </w:rPr>
          <w:t>2 ملوك 21:1–11؛</w:t>
        </w:r>
      </w:hyperlink>
      <w:r>
        <w:rPr>
          <w:lang w:val="ar_AE" w:bidi="ar_AE"/>
        </w:rPr>
        <w:t xml:space="preserve"> </w:t>
      </w:r>
      <w:hyperlink r:id="rId49">
        <w:r>
          <w:rPr>
            <w:lang w:val="ar_AE" w:bidi="ar_AE"/>
          </w:rPr>
          <w:rPr>
            <w:color w:val="0000EE"/>
            <w:u w:val="single"/>
          </w:rPr>
          <w:t>2 أخبار الأيام 33:1–9،</w:t>
        </w:r>
      </w:hyperlink>
      <w:r>
        <w:rPr>
          <w:lang w:val="ar_AE" w:bidi="ar_AE"/>
        </w:rPr>
        <w:t xml:space="preserve"> </w:t>
      </w:r>
      <w:hyperlink r:id="rId50">
        <w:r>
          <w:rPr>
            <w:lang w:val="ar_AE" w:bidi="ar_AE"/>
          </w:rPr>
          <w:rPr>
            <w:color w:val="0000EE"/>
            <w:u w:val="single"/>
          </w:rPr>
          <w:t>19–20</w:t>
        </w:r>
      </w:hyperlink>
      <w:r>
        <w:rPr>
          <w:lang w:val="ar_AE" w:bidi="ar_AE"/>
        </w:rPr>
        <w:t>) في إعلان الله عن هلاك يهوذا الوشيك (</w:t>
      </w:r>
      <w:hyperlink r:id="rId51">
        <w:r>
          <w:rPr>
            <w:lang w:val="ar_AE" w:bidi="ar_AE"/>
          </w:rPr>
          <w:rPr>
            <w:color w:val="0000EE"/>
            <w:u w:val="single"/>
          </w:rPr>
          <w:t>2 ملوك 21:12–15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lang w:val="ar_AE" w:bidi="ar_AE"/>
        </w:rPr>
      </w:r>
      <w:r>
        <w:rPr>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2">
        <w:r>
          <w:rPr>
            <w:lang w:val="ar_AE" w:bidi="ar_AE"/>
          </w:rPr>
          <w:rPr>
            <w:color w:val="0000EE"/>
            <w:u w:val="single"/>
          </w:rPr>
          <w:t>حبقوق ٢:٢–٣</w:t>
        </w:r>
      </w:hyperlink>
      <w:r>
        <w:rPr>
          <w:lang w:val="ar_AE" w:bidi="ar_AE"/>
        </w:rPr>
        <w:t xml:space="preserve">، </w:t>
      </w:r>
      <w:hyperlink r:id="rId53">
        <w:r>
          <w:rPr>
            <w:lang w:val="ar_AE" w:bidi="ar_AE"/>
          </w:rPr>
          <w:rPr>
            <w:color w:val="0000EE"/>
            <w:u w:val="single"/>
          </w:rPr>
          <w:t>١٤</w:t>
        </w:r>
      </w:hyperlink>
      <w:r>
        <w:rPr>
          <w:lang w:val="ar_AE" w:bidi="ar_AE"/>
        </w:rPr>
        <w:t>).</w:t>
      </w:r>
    </w:p>
    <w:p>
      <w:pPr>
        <w:bidi/>
      </w:pPr>
      <w:r>
        <w:rPr>
          <w:lang w:val="ar_AE" w:bidi="ar_AE"/>
        </w:rPr>
      </w:r>
      <w:r>
        <w:rPr>
          <w:lang w:val="ar_AE" w:bidi="ar_AE"/>
        </w:rPr>
        <w:t xml:space="preserve">عبدَ البابليون قوة وهمية جلبت لهم الازدهار. تُذكِّر اتهامات الله ضد البابليين القُرَّاء بضرورة عبادة الله وحده (انظر </w:t>
      </w:r>
      <w:hyperlink r:id="rId54">
        <w:r>
          <w:rPr>
            <w:lang w:val="ar_AE" w:bidi="ar_AE"/>
          </w:rPr>
          <w:rPr>
            <w:color w:val="0000EE"/>
            <w:u w:val="single"/>
          </w:rPr>
          <w:t>1 يوحنا 5:21</w:t>
        </w:r>
      </w:hyperlink>
      <w:r>
        <w:rPr>
          <w:lang w:val="ar_AE" w:bidi="ar_AE"/>
        </w:rPr>
        <w:t>).</w:t>
      </w:r>
    </w:p>
    <w:p>
      <w:pPr>
        <w:bidi/>
      </w:pPr>
      <w:r>
        <w:rPr>
          <w:lang w:val="ar_AE" w:bidi="ar_AE"/>
        </w:rPr>
      </w:r>
      <w:r>
        <w:rPr>
          <w:lang w:val="ar_AE" w:bidi="ar_AE"/>
        </w:rPr>
        <w:t>وتؤكد رسالة الله إلى حبقوق أيضًا أن حياة الإيمان المقدسة للمؤمن وإخلاصه يجب أن تُظهر معايير الله الأخلاقية (</w:t>
      </w:r>
      <w:hyperlink r:id="rId55">
        <w:r>
          <w:rPr>
            <w:lang w:val="ar_AE" w:bidi="ar_AE"/>
          </w:rPr>
          <w:rPr>
            <w:color w:val="0000EE"/>
            <w:u w:val="single"/>
          </w:rPr>
          <w:t>حب 1:12؛</w:t>
        </w:r>
      </w:hyperlink>
      <w:r>
        <w:rPr>
          <w:lang w:val="ar_AE" w:bidi="ar_AE"/>
        </w:rPr>
        <w:t xml:space="preserve"> </w:t>
      </w:r>
      <w:hyperlink r:id="rId56">
        <w:r>
          <w:rPr>
            <w:lang w:val="ar_AE" w:bidi="ar_AE"/>
          </w:rPr>
          <w:rPr>
            <w:color w:val="0000EE"/>
            <w:u w:val="single"/>
          </w:rPr>
          <w:t>2:4</w:t>
        </w:r>
      </w:hyperlink>
      <w:r>
        <w:rPr>
          <w:lang w:val="ar_AE" w:bidi="ar_AE"/>
        </w:rPr>
        <w:t>). أولئك الذين يثقون ويخدمون الله بنشاط سيتمكنون من الابتهاج في الرب (</w:t>
      </w:r>
      <w:hyperlink r:id="rId57">
        <w:r>
          <w:rPr>
            <w:lang w:val="ar_AE" w:bidi="ar_AE"/>
          </w:rPr>
          <w:rPr>
            <w:color w:val="0000EE"/>
            <w:u w:val="single"/>
          </w:rPr>
          <w:t>3:18؛</w:t>
        </w:r>
      </w:hyperlink>
      <w:r>
        <w:rPr>
          <w:lang w:val="ar_AE" w:bidi="ar_AE"/>
        </w:rPr>
        <w:t xml:space="preserve"> </w:t>
      </w:r>
      <w:hyperlink r:id="rId58">
        <w:r>
          <w:rPr>
            <w:lang w:val="ar_AE" w:bidi="ar_AE"/>
          </w:rPr>
          <w:rPr>
            <w:color w:val="0000EE"/>
            <w:u w:val="single"/>
          </w:rPr>
          <w:t>فيلبي 4:4</w:t>
        </w:r>
      </w:hyperlink>
      <w:r>
        <w:rPr>
          <w:lang w:val="ar_AE" w:bidi="ar_AE"/>
        </w:rPr>
        <w:t>) والعيش بانتصار تحت أي ظروف (</w:t>
      </w:r>
      <w:hyperlink r:id="rId59">
        <w:r>
          <w:rPr>
            <w:lang w:val="ar_AE" w:bidi="ar_AE"/>
          </w:rPr>
          <w:rPr>
            <w:color w:val="0000EE"/>
            <w:u w:val="single"/>
          </w:rPr>
          <w:t>حب 2:20؛</w:t>
        </w:r>
      </w:hyperlink>
      <w:r>
        <w:rPr>
          <w:lang w:val="ar_AE" w:bidi="ar_AE"/>
        </w:rPr>
        <w:t xml:space="preserve"> </w:t>
      </w:r>
      <w:hyperlink r:id="rId33">
        <w:r>
          <w:rPr>
            <w:lang w:val="ar_AE" w:bidi="ar_AE"/>
          </w:rPr>
          <w:rPr>
            <w:color w:val="0000EE"/>
            <w:u w:val="single"/>
          </w:rPr>
          <w:t>3:16–19؛</w:t>
        </w:r>
      </w:hyperlink>
      <w:r>
        <w:rPr>
          <w:lang w:val="ar_AE" w:bidi="ar_AE"/>
        </w:rPr>
        <w:t xml:space="preserve"> انظر أيضًا </w:t>
      </w:r>
      <w:hyperlink r:id="rId60">
        <w:r>
          <w:rPr>
            <w:lang w:val="ar_AE" w:bidi="ar_AE"/>
          </w:rPr>
          <w:rPr>
            <w:color w:val="0000EE"/>
            <w:u w:val="single"/>
          </w:rPr>
          <w:t>رومية 1:16–17؛</w:t>
        </w:r>
      </w:hyperlink>
      <w:r>
        <w:rPr>
          <w:lang w:val="ar_AE" w:bidi="ar_AE"/>
        </w:rPr>
        <w:t xml:space="preserve"> </w:t>
      </w:r>
      <w:hyperlink r:id="rId61">
        <w:r>
          <w:rPr>
            <w:lang w:val="ar_AE" w:bidi="ar_AE"/>
          </w:rPr>
          <w:rPr>
            <w:color w:val="0000EE"/>
            <w:u w:val="single"/>
          </w:rPr>
          <w:t>غلاطية 3:11؛</w:t>
        </w:r>
      </w:hyperlink>
      <w:r>
        <w:rPr>
          <w:lang w:val="ar_AE" w:bidi="ar_AE"/>
        </w:rPr>
        <w:t xml:space="preserve"> </w:t>
      </w:r>
      <w:hyperlink r:id="rId62">
        <w:r>
          <w:rPr>
            <w:lang w:val="ar_AE" w:bidi="ar_AE"/>
          </w:rPr>
          <w:rPr>
            <w:color w:val="0000EE"/>
            <w:u w:val="single"/>
          </w:rPr>
          <w:t>عب 10:35–39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