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سِفر ملاخي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5">
        <w:r>
          <w:rPr>
            <w:lang w:val="ar_AE" w:bidi="ar_AE"/>
          </w:rPr>
          <w:rPr>
            <w:color w:val="0000EE"/>
            <w:u w:val="single"/>
          </w:rPr>
          <w:t>1:2</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كتب ملاخي إلى اليهود في مقاطعة يهوذا الفارسية</w:t>
      </w:r>
      <w:r>
        <w:rPr>
          <w:i/>
          <w:lang w:val="ar_AE" w:bidi="ar_AE"/>
        </w:rPr>
        <w:t>،</w:t>
      </w:r>
      <w:r>
        <w:rPr>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lang w:val="ar_AE" w:bidi="ar_AE"/>
        </w:rPr>
      </w:r>
      <w:r>
        <w:rPr>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lang w:val="ar_AE" w:bidi="ar_AE"/>
        </w:rPr>
      </w:r>
      <w:r>
        <w:rPr>
          <w:lang w:val="ar_AE" w:bidi="ar_AE"/>
        </w:rPr>
        <w:t>واجه ملاخي شعبًا يميل إلى الشكوك الدينية والسياسية وخيبة الأمل الروحية. كانوا يتوقعون الازدهار (</w:t>
      </w:r>
      <w:hyperlink r:id="rId16">
        <w:r>
          <w:rPr>
            <w:lang w:val="ar_AE" w:bidi="ar_AE"/>
          </w:rPr>
          <w:rPr>
            <w:color w:val="0000EE"/>
            <w:u w:val="single"/>
          </w:rPr>
          <w:t>حج 2:7</w:t>
        </w:r>
      </w:hyperlink>
      <w:r>
        <w:rPr>
          <w:lang w:val="ar_AE" w:bidi="ar_AE"/>
        </w:rPr>
        <w:t xml:space="preserve">، </w:t>
      </w:r>
      <w:hyperlink r:id="rId17">
        <w:r>
          <w:rPr>
            <w:lang w:val="ar_AE" w:bidi="ar_AE"/>
          </w:rPr>
          <w:rPr>
            <w:color w:val="0000EE"/>
            <w:u w:val="single"/>
          </w:rPr>
          <w:t>18–19</w:t>
        </w:r>
      </w:hyperlink>
      <w:r>
        <w:rPr>
          <w:lang w:val="ar_AE" w:bidi="ar_AE"/>
        </w:rPr>
        <w:t>)، وملِكًا من نسل داود (</w:t>
      </w:r>
      <w:hyperlink r:id="rId18">
        <w:r>
          <w:rPr>
            <w:lang w:val="ar_AE" w:bidi="ar_AE"/>
          </w:rPr>
          <w:rPr>
            <w:color w:val="0000EE"/>
            <w:u w:val="single"/>
          </w:rPr>
          <w:t>حز 34:13</w:t>
        </w:r>
      </w:hyperlink>
      <w:r>
        <w:rPr>
          <w:lang w:val="ar_AE" w:bidi="ar_AE"/>
        </w:rPr>
        <w:t xml:space="preserve">، </w:t>
      </w:r>
      <w:hyperlink r:id="rId19">
        <w:r>
          <w:rPr>
            <w:lang w:val="ar_AE" w:bidi="ar_AE"/>
          </w:rPr>
          <w:rPr>
            <w:color w:val="0000EE"/>
            <w:u w:val="single"/>
          </w:rPr>
          <w:t>23–24</w:t>
        </w:r>
      </w:hyperlink>
      <w:r>
        <w:rPr>
          <w:lang w:val="ar_AE" w:bidi="ar_AE"/>
        </w:rPr>
        <w:t>)، والعهد الجديد الموعود مِن خلال إرميا (</w:t>
      </w:r>
      <w:hyperlink r:id="rId20">
        <w:r>
          <w:rPr>
            <w:lang w:val="ar_AE" w:bidi="ar_AE"/>
          </w:rPr>
          <w:rPr>
            <w:color w:val="0000EE"/>
            <w:u w:val="single"/>
          </w:rPr>
          <w:t>إر 31:23</w:t>
        </w:r>
      </w:hyperlink>
      <w:r>
        <w:rPr>
          <w:lang w:val="ar_AE" w:bidi="ar_AE"/>
        </w:rPr>
        <w:t xml:space="preserve">، </w:t>
      </w:r>
      <w:hyperlink r:id="rId21">
        <w:r>
          <w:rPr>
            <w:lang w:val="ar_AE" w:bidi="ar_AE"/>
          </w:rPr>
          <w:rPr>
            <w:color w:val="0000EE"/>
            <w:u w:val="single"/>
          </w:rPr>
          <w:t>31–34</w:t>
        </w:r>
      </w:hyperlink>
      <w:r>
        <w:rPr>
          <w:lang w:val="ar_AE" w:bidi="ar_AE"/>
        </w:rPr>
        <w:t>)، لكنهم لم يشهدوا أيًّا من هذه الأمور. في نظر الكثيرين، بدا الله وكأنه خَذَل شعبه.</w:t>
      </w:r>
    </w:p>
    <w:p>
      <w:pPr>
        <w:pStyle w:val="Heading2"/>
        <w:bidi/>
      </w:pPr>
      <w:r>
        <w:rPr>
          <w:lang w:val="ar_AE" w:bidi="ar_AE"/>
        </w:rPr>
        <w:t>الخُلاصة</w:t>
      </w:r>
    </w:p>
    <w:p>
      <w:pPr>
        <w:bidi/>
      </w:pPr>
      <w:r>
        <w:rPr>
          <w:lang w:val="ar_AE" w:bidi="ar_AE"/>
        </w:rPr>
      </w:r>
      <w:r>
        <w:rPr>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5">
        <w:r>
          <w:rPr>
            <w:lang w:val="ar_AE" w:bidi="ar_AE"/>
          </w:rPr>
          <w:rPr>
            <w:color w:val="0000EE"/>
            <w:u w:val="single"/>
          </w:rPr>
          <w:t>1:2</w:t>
        </w:r>
      </w:hyperlink>
      <w:r>
        <w:rPr>
          <w:lang w:val="ar_AE" w:bidi="ar_AE"/>
        </w:rPr>
        <w:t>) - في رسالته الأولى (</w:t>
      </w:r>
      <w:hyperlink r:id="rId22">
        <w:r>
          <w:rPr>
            <w:lang w:val="ar_AE" w:bidi="ar_AE"/>
          </w:rPr>
          <w:rPr>
            <w:color w:val="0000EE"/>
            <w:u w:val="single"/>
          </w:rPr>
          <w:t>1:2–5</w:t>
        </w:r>
      </w:hyperlink>
      <w:r>
        <w:rPr>
          <w:lang w:val="ar_AE" w:bidi="ar_AE"/>
        </w:rPr>
        <w:t>). ثم يناقش النبي هذه الأطروحة مع مُستمعيه في الرسائل الخمس التالية. تؤكد الرسالة الثانية (</w:t>
      </w:r>
      <w:hyperlink r:id="rId23">
        <w:r>
          <w:rPr>
            <w:lang w:val="ar_AE" w:bidi="ar_AE"/>
          </w:rPr>
          <w:rPr>
            <w:color w:val="0000EE"/>
            <w:u w:val="single"/>
          </w:rPr>
          <w:t>1:6–2:9</w:t>
        </w:r>
      </w:hyperlink>
      <w:r>
        <w:rPr>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4">
        <w:r>
          <w:rPr>
            <w:lang w:val="ar_AE" w:bidi="ar_AE"/>
          </w:rPr>
          <w:rPr>
            <w:color w:val="0000EE"/>
            <w:u w:val="single"/>
          </w:rPr>
          <w:t>2:10–16</w:t>
        </w:r>
      </w:hyperlink>
      <w:r>
        <w:rPr>
          <w:lang w:val="ar_AE" w:bidi="ar_AE"/>
        </w:rPr>
        <w:t>) دلالات محبة الله في العلاقات الإنسانية، خاصةً الزواج. تُبرز الرسالة الرابعة (</w:t>
      </w:r>
      <w:hyperlink r:id="rId25">
        <w:r>
          <w:rPr>
            <w:lang w:val="ar_AE" w:bidi="ar_AE"/>
          </w:rPr>
          <w:rPr>
            <w:color w:val="0000EE"/>
            <w:u w:val="single"/>
          </w:rPr>
          <w:t>2:17–3:5</w:t>
        </w:r>
      </w:hyperlink>
      <w:r>
        <w:rPr>
          <w:lang w:val="ar_AE" w:bidi="ar_AE"/>
        </w:rPr>
        <w:t>) عدالة الله وتناشد الصدق في الكلام والأعمال وتسعى نحو تحقيق اهتمام اجتماعي حقيقي. تؤكد الرسالة الخامسة (</w:t>
      </w:r>
      <w:hyperlink r:id="rId26">
        <w:r>
          <w:rPr>
            <w:lang w:val="ar_AE" w:bidi="ar_AE"/>
          </w:rPr>
          <w:rPr>
            <w:color w:val="0000EE"/>
            <w:u w:val="single"/>
          </w:rPr>
          <w:t>3:6–12</w:t>
        </w:r>
      </w:hyperlink>
      <w:r>
        <w:rPr>
          <w:lang w:val="ar_AE" w:bidi="ar_AE"/>
        </w:rPr>
        <w:t>) على أمانة الله لكلمته وتدعو إسرائيل إلى أمانة مماثلة في العبادة، خاصة في تقديم العشور والقرابين. تكرر الرسالة النهائية (</w:t>
      </w:r>
      <w:hyperlink r:id="rId27">
        <w:r>
          <w:rPr>
            <w:lang w:val="ar_AE" w:bidi="ar_AE"/>
          </w:rPr>
          <w:rPr>
            <w:color w:val="0000EE"/>
            <w:u w:val="single"/>
          </w:rPr>
          <w:t>3:13–4:3</w:t>
        </w:r>
      </w:hyperlink>
      <w:r>
        <w:rPr>
          <w:lang w:val="ar_AE" w:bidi="ar_AE"/>
        </w:rPr>
        <w:t>) رغبة الله في أن يكون إسرائيل صادقًا وأمينًا في العبادة، بالنظر إلى يوم الرب القادم.</w:t>
      </w:r>
    </w:p>
    <w:p>
      <w:pPr>
        <w:bidi/>
      </w:pPr>
      <w:r>
        <w:rPr>
          <w:lang w:val="ar_AE" w:bidi="ar_AE"/>
        </w:rPr>
      </w:r>
      <w:r>
        <w:rPr>
          <w:lang w:val="ar_AE" w:bidi="ar_AE"/>
        </w:rPr>
        <w:t>يتجلَّى القلب الرعوي لملاخي في وعظه: حيث يبدأ وينتهي برسالة تشجيع (</w:t>
      </w:r>
      <w:hyperlink r:id="rId15">
        <w:r>
          <w:rPr>
            <w:lang w:val="ar_AE" w:bidi="ar_AE"/>
          </w:rPr>
          <w:rPr>
            <w:color w:val="0000EE"/>
            <w:u w:val="single"/>
          </w:rPr>
          <w:t>1:2؛</w:t>
        </w:r>
      </w:hyperlink>
      <w:r>
        <w:rPr>
          <w:lang w:val="ar_AE" w:bidi="ar_AE"/>
        </w:rPr>
        <w:t xml:space="preserve"> </w:t>
      </w:r>
      <w:hyperlink r:id="rId28">
        <w:r>
          <w:rPr>
            <w:lang w:val="ar_AE" w:bidi="ar_AE"/>
          </w:rPr>
          <w:rPr>
            <w:color w:val="0000EE"/>
            <w:u w:val="single"/>
          </w:rPr>
          <w:t>4:2</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يذكر سِفر ملاخي شيئًا عن كاتبه، لكن يُفترض أنَّ النبي ملاخي كتب عظاته بذاته بسبب البيان المذكور في </w:t>
      </w:r>
      <w:hyperlink r:id="rId29">
        <w:r>
          <w:rPr>
            <w:lang w:val="ar_AE" w:bidi="ar_AE"/>
          </w:rPr>
          <w:rPr>
            <w:color w:val="0000EE"/>
            <w:u w:val="single"/>
          </w:rPr>
          <w:t>1:1</w:t>
        </w:r>
      </w:hyperlink>
      <w:r>
        <w:rPr>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9">
        <w:r>
          <w:rPr>
            <w:lang w:val="ar_AE" w:bidi="ar_AE"/>
          </w:rPr>
          <w:rPr>
            <w:color w:val="0000EE"/>
            <w:u w:val="single"/>
          </w:rPr>
          <w:t>1:1</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على عكس العديد من الأسفار النبوية الأخرى، لا يحتوي سِفر ملاخي على صيغة تاريخية تربط رسالة النبي بحكم ملِك معين (مثل </w:t>
      </w:r>
      <w:hyperlink r:id="rId30">
        <w:r>
          <w:rPr>
            <w:lang w:val="ar_AE" w:bidi="ar_AE"/>
          </w:rPr>
          <w:rPr>
            <w:color w:val="0000EE"/>
            <w:u w:val="single"/>
          </w:rPr>
          <w:t>صفنيا 1:1</w:t>
        </w:r>
      </w:hyperlink>
      <w:r>
        <w:rPr>
          <w:lang w:val="ar_AE" w:bidi="ar_AE"/>
        </w:rPr>
        <w:t xml:space="preserve">؛ </w:t>
      </w:r>
      <w:hyperlink r:id="rId31">
        <w:r>
          <w:rPr>
            <w:lang w:val="ar_AE" w:bidi="ar_AE"/>
          </w:rPr>
          <w:rPr>
            <w:color w:val="0000EE"/>
            <w:u w:val="single"/>
          </w:rPr>
          <w:t>حج 1:1</w:t>
        </w:r>
      </w:hyperlink>
      <w:r>
        <w:rPr>
          <w:lang w:val="ar_AE" w:bidi="ar_AE"/>
        </w:rPr>
        <w:t xml:space="preserve">؛ </w:t>
      </w:r>
      <w:hyperlink r:id="rId32">
        <w:r>
          <w:rPr>
            <w:lang w:val="ar_AE" w:bidi="ar_AE"/>
          </w:rPr>
          <w:rPr>
            <w:color w:val="0000EE"/>
            <w:u w:val="single"/>
          </w:rPr>
          <w:t>زك 1:1</w:t>
        </w:r>
      </w:hyperlink>
      <w:r>
        <w:rPr>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3">
        <w:r>
          <w:rPr>
            <w:lang w:val="ar_AE" w:bidi="ar_AE"/>
          </w:rPr>
          <w:rPr>
            <w:color w:val="0000EE"/>
            <w:u w:val="single"/>
          </w:rPr>
          <w:t>حجَّي 2:21–22</w:t>
        </w:r>
      </w:hyperlink>
      <w:r>
        <w:rPr>
          <w:lang w:val="ar_AE" w:bidi="ar_AE"/>
        </w:rPr>
        <w:t>). من الممكن أيضًا أن يكون ملاخي قد كتَب في وقت لاحق في القرن الرابع قبل الميلاد.</w:t>
      </w:r>
    </w:p>
    <w:p>
      <w:pPr>
        <w:pStyle w:val="Heading2"/>
        <w:bidi/>
      </w:pPr>
      <w:r>
        <w:rPr>
          <w:lang w:val="ar_AE" w:bidi="ar_AE"/>
        </w:rPr>
        <w:t>نوع الأدب</w:t>
      </w:r>
    </w:p>
    <w:p>
      <w:pPr>
        <w:bidi/>
      </w:pPr>
      <w:r>
        <w:rPr>
          <w:lang w:val="ar_AE" w:bidi="ar_AE"/>
        </w:rPr>
      </w:r>
      <w:r>
        <w:rPr>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4">
        <w:r>
          <w:rPr>
            <w:lang w:val="ar_AE" w:bidi="ar_AE"/>
          </w:rPr>
          <w:rPr>
            <w:color w:val="0000EE"/>
            <w:u w:val="single"/>
          </w:rPr>
          <w:t>متى 5:21–22</w:t>
        </w:r>
      </w:hyperlink>
      <w:r>
        <w:rPr>
          <w:lang w:val="ar_AE" w:bidi="ar_AE"/>
        </w:rPr>
        <w:t xml:space="preserve">، </w:t>
      </w:r>
      <w:hyperlink r:id="rId35">
        <w:r>
          <w:rPr>
            <w:lang w:val="ar_AE" w:bidi="ar_AE"/>
          </w:rPr>
          <w:rPr>
            <w:color w:val="0000EE"/>
            <w:u w:val="single"/>
          </w:rPr>
          <w:t>27–28</w:t>
        </w:r>
      </w:hyperlink>
      <w:r>
        <w:rPr>
          <w:lang w:val="ar_AE" w:bidi="ar_AE"/>
        </w:rPr>
        <w:t>: "قد سمعتم... أما أنا فأقول...").</w:t>
      </w:r>
    </w:p>
    <w:p>
      <w:pPr>
        <w:pStyle w:val="Heading2"/>
        <w:bidi/>
      </w:pPr>
      <w:r>
        <w:rPr>
          <w:lang w:val="ar_AE" w:bidi="ar_AE"/>
        </w:rPr>
        <w:t>المعنى والرسالة</w:t>
      </w:r>
    </w:p>
    <w:p>
      <w:pPr>
        <w:bidi/>
      </w:pPr>
      <w:r>
        <w:rPr>
          <w:lang w:val="ar_AE" w:bidi="ar_AE"/>
        </w:rPr>
      </w:r>
      <w:r>
        <w:rPr>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lang w:val="ar_AE" w:bidi="ar_AE"/>
        </w:rPr>
      </w:r>
      <w:r>
        <w:rPr>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lang w:val="ar_AE" w:bidi="ar_AE"/>
        </w:rPr>
      </w:r>
      <w:r>
        <w:rPr>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