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1 Timothy</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Timothy</w:t>
      </w:r>
      <w:r>
        <w:rPr>
          <w:lang w:val="ar_AE" w:bidi="ar_AE"/>
        </w:rPr>
      </w:r>
    </w:p>
    <w:p>
      <w:pPr>
        <w:bidi/>
      </w:pPr>
      <w:r>
        <w:rPr>
          <w:lang w:val="ar_AE" w:bidi="ar_AE"/>
        </w:rPr>
      </w:r>
      <w:r>
        <w:rPr>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lang w:val="ar_AE" w:bidi="ar_AE"/>
        </w:rPr>
        <w:t>أعمال الرُّسُل 20: 29–31</w:t>
      </w:r>
      <w:r>
        <w:rPr>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lang w:val="ar_AE" w:bidi="ar_AE"/>
        </w:rPr>
        <w:t>الإطار الأدبي</w:t>
      </w:r>
    </w:p>
    <w:p>
      <w:pPr>
        <w:bidi/>
      </w:pPr>
      <w:r>
        <w:rPr>
          <w:lang w:val="ar_AE" w:bidi="ar_AE"/>
        </w:rPr>
      </w:r>
      <w:r>
        <w:rPr>
          <w:lang w:val="ar_AE" w:bidi="ar_AE"/>
        </w:rPr>
        <w:t>لم يعط تواصل بولس الأول مع أفسس، خلال رحلته التبشيرية الثانية (</w:t>
      </w:r>
      <w:r>
        <w:rPr>
          <w:lang w:val="ar_AE" w:bidi="ar_AE"/>
        </w:rPr>
        <w:t>أعمال الرُّسُل 18: 19–21</w:t>
      </w:r>
      <w:r>
        <w:rPr>
          <w:lang w:val="ar_AE" w:bidi="ar_AE"/>
        </w:rPr>
        <w:t xml:space="preserve">)، أي فرصة لإنجاز عمل مهم. خلال رحلته التبشيرية الثالثة، خدم بولس في أفسس لمدة ثلاث سنوات (53–56 م، تقريبًا؛ </w:t>
      </w:r>
      <w:r>
        <w:rPr>
          <w:lang w:val="ar_AE" w:bidi="ar_AE"/>
        </w:rPr>
        <w:t>أعمال الرُّسُل 19</w:t>
      </w:r>
      <w:r>
        <w:rPr>
          <w:lang w:val="ar_AE" w:bidi="ar_AE"/>
        </w:rPr>
        <w:t>). لاحقًا، عندما كان بولس في طريقه إلى أورشليم، أتيحت له الفرصة للتوقف عند ميليتوس والتحدث إلى الشيوخ من أفسس، الذين قابلوه هناك (</w:t>
      </w:r>
      <w:r>
        <w:rPr>
          <w:lang w:val="ar_AE" w:bidi="ar_AE"/>
        </w:rPr>
        <w:t>أعمال الرُّسُل 20: 17–38</w:t>
      </w:r>
      <w:r>
        <w:rPr>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lang w:val="ar_AE" w:bidi="ar_AE"/>
        </w:rPr>
        <w:t>أعمال الرُّسُل 21–28</w:t>
      </w:r>
      <w:r>
        <w:rPr>
          <w:lang w:val="ar_AE" w:bidi="ar_AE"/>
        </w:rPr>
        <w:t xml:space="preserve">). عندما أطلق سراحه من السجن، عاد إلى مهمته، وربما كان متجهًا نحو إسبانيا (انظر رومية </w:t>
      </w:r>
      <w:r>
        <w:rPr>
          <w:lang w:val="ar_AE" w:bidi="ar_AE"/>
        </w:rPr>
        <w:t>15: 24</w:t>
      </w:r>
      <w:r>
        <w:rPr>
          <w:lang w:val="ar_AE" w:bidi="ar_AE"/>
        </w:rPr>
        <w:t xml:space="preserve">، </w:t>
      </w:r>
      <w:r>
        <w:rPr>
          <w:lang w:val="ar_AE" w:bidi="ar_AE"/>
        </w:rPr>
        <w:t>28</w:t>
      </w:r>
      <w:r>
        <w:rPr>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lang w:val="ar_AE" w:bidi="ar_AE"/>
        </w:rPr>
      </w:r>
      <w:r>
        <w:rPr>
          <w:lang w:val="ar_AE" w:bidi="ar_AE"/>
        </w:rPr>
        <w:t>لقد فوَّض إلى تيموثاوس، الذي رافق بولس لجزء كبير من خدمته الأصلية هناك (</w:t>
      </w:r>
      <w:r>
        <w:rPr>
          <w:lang w:val="ar_AE" w:bidi="ar_AE"/>
        </w:rPr>
        <w:t>أعمال الرُّسُل 19: 22</w:t>
      </w:r>
      <w:r>
        <w:rPr>
          <w:lang w:val="ar_AE" w:bidi="ar_AE"/>
        </w:rPr>
        <w:t>)، مهمة التعامل مع التطورات الجديدة والمقلقة في أفسس (</w:t>
      </w:r>
      <w:r>
        <w:rPr>
          <w:lang w:val="ar_AE" w:bidi="ar_AE"/>
        </w:rPr>
        <w:t>1 تيموثاوس 1: 3</w:t>
      </w:r>
      <w:r>
        <w:rPr>
          <w:lang w:val="ar_AE" w:bidi="ar_AE"/>
        </w:rPr>
        <w:t>). لقد ظهر معلمون كذبة (</w:t>
      </w:r>
      <w:r>
        <w:rPr>
          <w:lang w:val="ar_AE" w:bidi="ar_AE"/>
        </w:rPr>
        <w:t>1: 3</w:t>
      </w:r>
      <w:r>
        <w:rPr>
          <w:lang w:val="ar_AE" w:bidi="ar_AE"/>
        </w:rPr>
        <w:t xml:space="preserve">) وكانوا يزعجون بيوتًا (انظر </w:t>
      </w:r>
      <w:r>
        <w:rPr>
          <w:lang w:val="ar_AE" w:bidi="ar_AE"/>
        </w:rPr>
        <w:t>1 تيموثاوس 2: 15</w:t>
      </w:r>
      <w:r>
        <w:rPr>
          <w:lang w:val="ar_AE" w:bidi="ar_AE"/>
        </w:rPr>
        <w:t xml:space="preserve">؛ </w:t>
      </w:r>
      <w:r>
        <w:rPr>
          <w:lang w:val="ar_AE" w:bidi="ar_AE"/>
        </w:rPr>
        <w:t>3: 4–5</w:t>
      </w:r>
      <w:r>
        <w:rPr>
          <w:lang w:val="ar_AE" w:bidi="ar_AE"/>
        </w:rPr>
        <w:t xml:space="preserve">؛ </w:t>
      </w:r>
      <w:r>
        <w:rPr>
          <w:lang w:val="ar_AE" w:bidi="ar_AE"/>
        </w:rPr>
        <w:t>5: 11–15</w:t>
      </w:r>
      <w:r>
        <w:rPr>
          <w:lang w:val="ar_AE" w:bidi="ar_AE"/>
        </w:rPr>
        <w:t xml:space="preserve">؛ </w:t>
      </w:r>
      <w:r>
        <w:rPr>
          <w:lang w:val="ar_AE" w:bidi="ar_AE"/>
        </w:rPr>
        <w:t>تيطس 1: 11</w:t>
      </w:r>
      <w:r>
        <w:rPr>
          <w:lang w:val="ar_AE" w:bidi="ar_AE"/>
        </w:rPr>
        <w:t>). كتب بولس إلى تيموثاوس ليرشده في تقويم السلوك الضال وفي منع المعلمين الكذبة من الحصول على موطئ قدم آخر.</w:t>
      </w:r>
    </w:p>
    <w:p>
      <w:pPr>
        <w:pStyle w:val="Heading2"/>
        <w:bidi/>
      </w:pPr>
      <w:r>
        <w:rPr>
          <w:lang w:val="ar_AE" w:bidi="ar_AE"/>
        </w:rPr>
        <w:t>المُلخص</w:t>
      </w:r>
    </w:p>
    <w:p>
      <w:pPr>
        <w:bidi/>
      </w:pPr>
      <w:r>
        <w:rPr>
          <w:lang w:val="ar_AE" w:bidi="ar_AE"/>
        </w:rPr>
      </w:r>
      <w:r>
        <w:rPr>
          <w:lang w:val="ar_AE" w:bidi="ar_AE"/>
        </w:rPr>
        <w:t>بعد توجيه تيموثاوس إلى التعامل مع المعلمين الكذبة الذين اقترنوا أن يكونوا معلمي الناموس (</w:t>
      </w:r>
      <w:r>
        <w:rPr>
          <w:lang w:val="ar_AE" w:bidi="ar_AE"/>
        </w:rPr>
        <w:t>1: 3–20</w:t>
      </w:r>
      <w:r>
        <w:rPr>
          <w:lang w:val="ar_AE" w:bidi="ar_AE"/>
        </w:rPr>
        <w:t>)، يعطي بولس إرشادًا بشأن السلوك في بيت الله فيما يتعلق بالصلاة، وتعاليم النساء، والقيادة (</w:t>
      </w:r>
      <w:r>
        <w:rPr>
          <w:lang w:val="ar_AE" w:bidi="ar_AE"/>
        </w:rPr>
        <w:t>2: 1–3: 13</w:t>
      </w:r>
      <w:r>
        <w:rPr>
          <w:lang w:val="ar_AE" w:bidi="ar_AE"/>
        </w:rPr>
        <w:t>). إذ قد أضر المعلمون الكذبة بهذه العناصر الثلاثة. يوضح بولس ما يحاول تحقيقه ويشرح لماذا وكيف يجب أن يتم (</w:t>
      </w:r>
      <w:r>
        <w:rPr>
          <w:lang w:val="ar_AE" w:bidi="ar_AE"/>
        </w:rPr>
        <w:t>3: 14–4: 16</w:t>
      </w:r>
      <w:r>
        <w:rPr>
          <w:lang w:val="ar_AE" w:bidi="ar_AE"/>
        </w:rPr>
        <w:t>). ثم يستأنف تعليماته بشأن السلوك التقي، مركزًا على الشيوخ والفتية والأرامل والعجزة والأسياد (</w:t>
      </w:r>
      <w:r>
        <w:rPr>
          <w:lang w:val="ar_AE" w:bidi="ar_AE"/>
        </w:rPr>
        <w:t>5: 1–6: 2</w:t>
      </w:r>
      <w:r>
        <w:rPr>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lang w:val="ar_AE" w:bidi="ar_AE"/>
        </w:rPr>
        <w:t>6: 2–21</w:t>
      </w:r>
      <w:r>
        <w:rPr>
          <w:lang w:val="ar_AE" w:bidi="ar_AE"/>
        </w:rPr>
        <w:t>).</w:t>
      </w:r>
    </w:p>
    <w:p>
      <w:pPr>
        <w:pStyle w:val="Heading2"/>
        <w:bidi/>
      </w:pPr>
      <w:r>
        <w:rPr>
          <w:lang w:val="ar_AE" w:bidi="ar_AE"/>
        </w:rPr>
        <w:t>الكاتب</w:t>
      </w:r>
    </w:p>
    <w:p>
      <w:pPr>
        <w:bidi/>
      </w:pPr>
      <w:r>
        <w:rPr>
          <w:lang w:val="ar_AE" w:bidi="ar_AE"/>
        </w:rPr>
      </w:r>
      <w:r>
        <w:rPr>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lang w:val="ar_AE" w:bidi="ar_AE"/>
        </w:rPr>
        <w:t>amanuensis</w:t>
      </w:r>
      <w:r>
        <w:rPr>
          <w:lang w:val="ar_AE" w:bidi="ar_AE"/>
        </w:rPr>
        <w:t>" مختلف لهذه الرسائل. من المعقول تأكيد مؤلفانية بولس للرسائل الرعوية.</w:t>
      </w:r>
    </w:p>
    <w:p>
      <w:pPr>
        <w:pStyle w:val="Heading2"/>
        <w:bidi/>
      </w:pPr>
      <w:r>
        <w:rPr>
          <w:lang w:val="ar_AE" w:bidi="ar_AE"/>
        </w:rPr>
        <w:t>تاريخ الكتابة</w:t>
      </w:r>
    </w:p>
    <w:p>
      <w:pPr>
        <w:bidi/>
      </w:pPr>
      <w:r>
        <w:rPr>
          <w:lang w:val="ar_AE" w:bidi="ar_AE"/>
        </w:rPr>
      </w:r>
      <w:r>
        <w:rPr>
          <w:lang w:val="ar_AE" w:bidi="ar_AE"/>
        </w:rPr>
        <w:t xml:space="preserve">على الأرجح كتبت الرسائل الرعوية (1 تيموثاوس - تيطس) بعد سجن بولس الأول في روما (60–62 م، أعمال الرُّسُل </w:t>
      </w:r>
      <w:r>
        <w:rPr>
          <w:lang w:val="ar_AE" w:bidi="ar_AE"/>
        </w:rPr>
        <w:t>28: 1–31</w:t>
      </w:r>
      <w:r>
        <w:rPr>
          <w:lang w:val="ar_AE" w:bidi="ar_AE"/>
        </w:rPr>
        <w:t>) وقبل موته في 64–65 م، في ظل اضطهاد نيرون.</w:t>
      </w:r>
    </w:p>
    <w:p>
      <w:pPr>
        <w:bidi/>
      </w:pPr>
      <w:r>
        <w:rPr>
          <w:lang w:val="ar_AE" w:bidi="ar_AE"/>
        </w:rPr>
      </w:r>
      <w:r>
        <w:rPr>
          <w:lang w:val="ar_AE" w:bidi="ar_AE"/>
        </w:rPr>
        <w:t xml:space="preserve">في 2 تيموثاوس، سُجن بولس في روما في نهاية حياته (انظر </w:t>
      </w:r>
      <w:r>
        <w:rPr>
          <w:lang w:val="ar_AE" w:bidi="ar_AE"/>
        </w:rPr>
        <w:t>2 تيموثاوس 4: 6</w:t>
      </w:r>
      <w:r>
        <w:rPr>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lang w:val="ar_AE" w:bidi="ar_AE"/>
        </w:rPr>
      </w:r>
      <w:r>
        <w:rPr>
          <w:lang w:val="ar_AE" w:bidi="ar_AE"/>
        </w:rPr>
        <w:t xml:space="preserve">أحد الاحتمالات يتمثل في أن 2 تيموثاوس قد كُتِبَتْ أثناء السجن الروماني المذكور في </w:t>
      </w:r>
      <w:r>
        <w:rPr>
          <w:lang w:val="ar_AE" w:bidi="ar_AE"/>
        </w:rPr>
        <w:t>أعمال الرُّسُل 28</w:t>
      </w:r>
      <w:r>
        <w:rPr>
          <w:lang w:val="ar_AE" w:bidi="ar_AE"/>
        </w:rPr>
        <w:t>. في هذه الحالة، ستندرج الرسائل الثلاث في رواية لوقا التاريخية في سفر أعمال الرُّسُل، وسيُعدم بولس في نهاية ذلك السجن (62 م).</w:t>
      </w:r>
    </w:p>
    <w:p>
      <w:pPr>
        <w:bidi/>
      </w:pPr>
      <w:r>
        <w:rPr>
          <w:lang w:val="ar_AE" w:bidi="ar_AE"/>
        </w:rPr>
      </w:r>
      <w:r>
        <w:rPr>
          <w:lang w:val="ar_AE" w:bidi="ar_AE"/>
        </w:rPr>
        <w:t xml:space="preserve">ومع ذلك، ثمة تقارير مبكرة تفيد بأن بولس قد أطلق سراحه من هذا السجن الروماني (على سبيل المثال، </w:t>
      </w:r>
      <w:r>
        <w:rPr>
          <w:i/>
          <w:lang w:val="ar_AE" w:bidi="ar_AE"/>
        </w:rPr>
        <w:t>1 كليمنت</w:t>
      </w:r>
      <w:r>
        <w:rPr>
          <w:lang w:val="ar_AE" w:bidi="ar_AE"/>
        </w:rPr>
        <w:t xml:space="preserve"> </w:t>
      </w:r>
      <w:r>
        <w:rPr>
          <w:lang w:val="ar_AE" w:bidi="ar_AE"/>
        </w:rPr>
        <w:t>5: 6–7</w:t>
      </w:r>
      <w:r>
        <w:rPr>
          <w:lang w:val="ar_AE" w:bidi="ar_AE"/>
        </w:rPr>
        <w:t xml:space="preserve">، 95–97؛ انظر أيضًا يوسابيوس، </w:t>
      </w:r>
      <w:r>
        <w:rPr>
          <w:i/>
          <w:lang w:val="ar_AE" w:bidi="ar_AE"/>
        </w:rPr>
        <w:t>تاريخ الكنيسة</w:t>
      </w:r>
      <w:r>
        <w:rPr>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lang w:val="ar_AE" w:bidi="ar_AE"/>
        </w:rPr>
      </w:r>
      <w:r>
        <w:rPr>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lang w:val="ar_AE" w:bidi="ar_AE"/>
        </w:rPr>
        <w:t>أعمال الرُّسُل 28</w:t>
      </w:r>
      <w:r>
        <w:rPr>
          <w:lang w:val="ar_AE" w:bidi="ar_AE"/>
        </w:rPr>
        <w:t>. أخيرًا، إن الأسلوب والمضمون المميزان لهذه الرسائل أقل حيرة إذا كُتِبَتْ في وقت مختلف عن رسائل بولس الأخرى.</w:t>
      </w:r>
    </w:p>
    <w:p>
      <w:pPr>
        <w:pStyle w:val="Heading2"/>
        <w:bidi/>
      </w:pPr>
      <w:r>
        <w:rPr>
          <w:lang w:val="ar_AE" w:bidi="ar_AE"/>
        </w:rPr>
        <w:t>المعلمون الكذبة</w:t>
      </w:r>
    </w:p>
    <w:p>
      <w:pPr>
        <w:bidi/>
      </w:pPr>
      <w:r>
        <w:rPr>
          <w:lang w:val="ar_AE" w:bidi="ar_AE"/>
        </w:rPr>
      </w:r>
      <w:r>
        <w:rPr>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lang w:val="ar_AE" w:bidi="ar_AE"/>
        </w:rPr>
        <w:t>1 تيموثاوس 4: 3</w:t>
      </w:r>
      <w:r>
        <w:rPr>
          <w:lang w:val="ar_AE" w:bidi="ar_AE"/>
        </w:rPr>
        <w:t xml:space="preserve">؛ </w:t>
      </w:r>
      <w:r>
        <w:rPr>
          <w:lang w:val="ar_AE" w:bidi="ar_AE"/>
        </w:rPr>
        <w:t>تيطس 1: 15</w:t>
      </w:r>
      <w:r>
        <w:rPr>
          <w:lang w:val="ar_AE" w:bidi="ar_AE"/>
        </w:rPr>
        <w:t xml:space="preserve">) وتشديد على اليهودية (انظر </w:t>
      </w:r>
      <w:r>
        <w:rPr>
          <w:lang w:val="ar_AE" w:bidi="ar_AE"/>
        </w:rPr>
        <w:t>1 تيموثاوس 1: 7</w:t>
      </w:r>
      <w:r>
        <w:rPr>
          <w:lang w:val="ar_AE" w:bidi="ar_AE"/>
        </w:rPr>
        <w:t xml:space="preserve">؛ </w:t>
      </w:r>
      <w:r>
        <w:rPr>
          <w:lang w:val="ar_AE" w:bidi="ar_AE"/>
        </w:rPr>
        <w:t>تيطس 1: 10</w:t>
      </w:r>
      <w:r>
        <w:rPr>
          <w:lang w:val="ar_AE" w:bidi="ar_AE"/>
        </w:rPr>
        <w:t xml:space="preserve">، </w:t>
      </w:r>
      <w:r>
        <w:rPr>
          <w:lang w:val="ar_AE" w:bidi="ar_AE"/>
        </w:rPr>
        <w:t>14</w:t>
      </w:r>
      <w:r>
        <w:rPr>
          <w:lang w:val="ar_AE" w:bidi="ar_AE"/>
        </w:rPr>
        <w:t xml:space="preserve">؛ </w:t>
      </w:r>
      <w:r>
        <w:rPr>
          <w:lang w:val="ar_AE" w:bidi="ar_AE"/>
        </w:rPr>
        <w:t>3: 9</w:t>
      </w:r>
      <w:r>
        <w:rPr>
          <w:lang w:val="ar_AE" w:bidi="ar_AE"/>
        </w:rPr>
        <w:t>). ادَّعوا معرفة خاصة (</w:t>
      </w:r>
      <w:r>
        <w:rPr>
          <w:lang w:val="ar_AE" w:bidi="ar_AE"/>
        </w:rPr>
        <w:t>1 تيموثاوس 6: 20</w:t>
      </w:r>
      <w:r>
        <w:rPr>
          <w:lang w:val="ar_AE" w:bidi="ar_AE"/>
        </w:rPr>
        <w:t xml:space="preserve">؛ </w:t>
      </w:r>
      <w:r>
        <w:rPr>
          <w:lang w:val="ar_AE" w:bidi="ar_AE"/>
        </w:rPr>
        <w:t>تيطس 1: 16</w:t>
      </w:r>
      <w:r>
        <w:rPr>
          <w:lang w:val="ar_AE" w:bidi="ar_AE"/>
        </w:rPr>
        <w:t>)، مشددين على أن قيامة المؤمنين قد حدثت بالفعل (</w:t>
      </w:r>
      <w:r>
        <w:rPr>
          <w:lang w:val="ar_AE" w:bidi="ar_AE"/>
        </w:rPr>
        <w:t>2 تيموثاوس 2: 18</w:t>
      </w:r>
      <w:r>
        <w:rPr>
          <w:lang w:val="ar_AE" w:bidi="ar_AE"/>
        </w:rPr>
        <w:t>)، وشوهوا العلاقات (</w:t>
      </w:r>
      <w:r>
        <w:rPr>
          <w:lang w:val="ar_AE" w:bidi="ar_AE"/>
        </w:rPr>
        <w:t>2 تيموثاوس 3: 6–7</w:t>
      </w:r>
      <w:r>
        <w:rPr>
          <w:lang w:val="ar_AE" w:bidi="ar_AE"/>
        </w:rPr>
        <w:t xml:space="preserve">؛ </w:t>
      </w:r>
      <w:r>
        <w:rPr>
          <w:lang w:val="ar_AE" w:bidi="ar_AE"/>
        </w:rPr>
        <w:t>تيطس 1: 11</w:t>
      </w:r>
      <w:r>
        <w:rPr>
          <w:lang w:val="ar_AE" w:bidi="ar_AE"/>
        </w:rPr>
        <w:t>)، وربما شددوا على الخلاص بالأعمال (</w:t>
      </w:r>
      <w:r>
        <w:rPr>
          <w:lang w:val="ar_AE" w:bidi="ar_AE"/>
        </w:rPr>
        <w:t>2 تيموثاوس 1: 9</w:t>
      </w:r>
      <w:r>
        <w:rPr>
          <w:lang w:val="ar_AE" w:bidi="ar_AE"/>
        </w:rPr>
        <w:t xml:space="preserve">؛ </w:t>
      </w:r>
      <w:r>
        <w:rPr>
          <w:lang w:val="ar_AE" w:bidi="ar_AE"/>
        </w:rPr>
        <w:t>تيطس 3: 5</w:t>
      </w:r>
      <w:r>
        <w:rPr>
          <w:lang w:val="ar_AE" w:bidi="ar_AE"/>
        </w:rPr>
        <w:t xml:space="preserve">). تشير استجابة بولس القوية إلى الحاجة إلى إجراء تصويبات بشأن عقيدة المسيح (انظر </w:t>
      </w:r>
      <w:r>
        <w:rPr>
          <w:lang w:val="ar_AE" w:bidi="ar_AE"/>
        </w:rPr>
        <w:t>1 تيموثاوس 2: 5–6</w:t>
      </w:r>
      <w:r>
        <w:rPr>
          <w:lang w:val="ar_AE" w:bidi="ar_AE"/>
        </w:rPr>
        <w:t xml:space="preserve">؛ </w:t>
      </w:r>
      <w:r>
        <w:rPr>
          <w:lang w:val="ar_AE" w:bidi="ar_AE"/>
        </w:rPr>
        <w:t>3: 16</w:t>
      </w:r>
      <w:r>
        <w:rPr>
          <w:lang w:val="ar_AE" w:bidi="ar_AE"/>
        </w:rPr>
        <w:t xml:space="preserve">؛ </w:t>
      </w:r>
      <w:r>
        <w:rPr>
          <w:lang w:val="ar_AE" w:bidi="ar_AE"/>
        </w:rPr>
        <w:t>2 تيموثاوس 2: 8</w:t>
      </w:r>
      <w:r>
        <w:rPr>
          <w:lang w:val="ar_AE" w:bidi="ar_AE"/>
        </w:rPr>
        <w:t xml:space="preserve">) والأيام الأخيرة (انظر </w:t>
      </w:r>
      <w:r>
        <w:rPr>
          <w:lang w:val="ar_AE" w:bidi="ar_AE"/>
        </w:rPr>
        <w:t>1 تيموثاوس 4: 1–5</w:t>
      </w:r>
      <w:r>
        <w:rPr>
          <w:lang w:val="ar_AE" w:bidi="ar_AE"/>
        </w:rPr>
        <w:t xml:space="preserve">؛ </w:t>
      </w:r>
      <w:r>
        <w:rPr>
          <w:lang w:val="ar_AE" w:bidi="ar_AE"/>
        </w:rPr>
        <w:t>2 تيموثاوس 2: 18</w:t>
      </w:r>
      <w:r>
        <w:rPr>
          <w:lang w:val="ar_AE" w:bidi="ar_AE"/>
        </w:rPr>
        <w:t xml:space="preserve">؛ </w:t>
      </w:r>
      <w:r>
        <w:rPr>
          <w:lang w:val="ar_AE" w:bidi="ar_AE"/>
        </w:rPr>
        <w:t>3: 1–9</w:t>
      </w:r>
      <w:r>
        <w:rPr>
          <w:lang w:val="ar_AE" w:bidi="ar_AE"/>
        </w:rPr>
        <w:t xml:space="preserve">؛ </w:t>
      </w:r>
      <w:r>
        <w:rPr>
          <w:lang w:val="ar_AE" w:bidi="ar_AE"/>
        </w:rPr>
        <w:t>تيطس 2: 11–14</w:t>
      </w:r>
      <w:r>
        <w:rPr>
          <w:lang w:val="ar_AE" w:bidi="ar_AE"/>
        </w:rPr>
        <w:t xml:space="preserve">). قاوم المعلمون الكذبة رسالة بولس، وروجوا للفجور، وقوضوا إرسالية الكنيسة. وهكذا، كان ثمة حاجة إلى قادة صالحين (انظر </w:t>
      </w:r>
      <w:r>
        <w:rPr>
          <w:lang w:val="ar_AE" w:bidi="ar_AE"/>
        </w:rPr>
        <w:t>تيطس 1: 10–13</w:t>
      </w:r>
      <w:r>
        <w:rPr>
          <w:lang w:val="ar_AE" w:bidi="ar_AE"/>
        </w:rPr>
        <w:t xml:space="preserve">؛ </w:t>
      </w:r>
      <w:r>
        <w:rPr>
          <w:lang w:val="ar_AE" w:bidi="ar_AE"/>
        </w:rPr>
        <w:t>2: 6–8</w:t>
      </w:r>
      <w:r>
        <w:rPr>
          <w:lang w:val="ar_AE" w:bidi="ar_AE"/>
        </w:rPr>
        <w:t xml:space="preserve">، </w:t>
      </w:r>
      <w:r>
        <w:rPr>
          <w:lang w:val="ar_AE" w:bidi="ar_AE"/>
        </w:rPr>
        <w:t>15</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lang w:val="ar_AE" w:bidi="ar_AE"/>
        </w:rPr>
        <w:t>3: 14–16</w:t>
      </w:r>
      <w:r>
        <w:rPr>
          <w:lang w:val="ar_AE" w:bidi="ar_AE"/>
        </w:rPr>
        <w:t>).</w:t>
      </w:r>
    </w:p>
    <w:p>
      <w:pPr>
        <w:bidi/>
      </w:pPr>
      <w:r>
        <w:rPr>
          <w:lang w:val="ar_AE" w:bidi="ar_AE"/>
        </w:rPr>
      </w:r>
      <w:r>
        <w:rPr>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lang w:val="ar_AE" w:bidi="ar_AE"/>
        </w:rPr>
        <w:t>4: 3–4</w:t>
      </w:r>
      <w:r>
        <w:rPr>
          <w:lang w:val="ar_AE" w:bidi="ar_AE"/>
        </w:rPr>
        <w:t xml:space="preserve">؛ </w:t>
      </w:r>
      <w:r>
        <w:rPr>
          <w:lang w:val="ar_AE" w:bidi="ar_AE"/>
        </w:rPr>
        <w:t>6: 17</w:t>
      </w:r>
      <w:r>
        <w:rPr>
          <w:lang w:val="ar_AE" w:bidi="ar_AE"/>
        </w:rPr>
        <w:t>)، لكنه زائف في أيامه الأخيرة والصعبة والشريرة (</w:t>
      </w:r>
      <w:r>
        <w:rPr>
          <w:lang w:val="ar_AE" w:bidi="ar_AE"/>
        </w:rPr>
        <w:t>4: 1</w:t>
      </w:r>
      <w:r>
        <w:rPr>
          <w:lang w:val="ar_AE" w:bidi="ar_AE"/>
        </w:rPr>
        <w:t xml:space="preserve">؛ </w:t>
      </w:r>
      <w:r>
        <w:rPr>
          <w:lang w:val="ar_AE" w:bidi="ar_AE"/>
        </w:rPr>
        <w:t>2 تيموثاوس 3: 1</w:t>
      </w:r>
      <w:r>
        <w:rPr>
          <w:lang w:val="ar_AE" w:bidi="ar_AE"/>
        </w:rPr>
        <w:t>). يعبر بيت الله عن الخليقة الجديدة حتى كما هي موجودة في العالم.</w:t>
      </w:r>
    </w:p>
    <w:p>
      <w:pPr>
        <w:bidi/>
      </w:pPr>
      <w:r>
        <w:rPr>
          <w:lang w:val="ar_AE" w:bidi="ar_AE"/>
        </w:rPr>
      </w:r>
      <w:r>
        <w:rPr>
          <w:lang w:val="ar_AE" w:bidi="ar_AE"/>
        </w:rPr>
        <w:t xml:space="preserve">إن رسالة بيت الله هي تقدم الخبر السار في العالم وتعزيز مشيئة الله (انظر </w:t>
      </w:r>
      <w:r>
        <w:rPr>
          <w:lang w:val="ar_AE" w:bidi="ar_AE"/>
        </w:rPr>
        <w:t>1 تيموثاوس 2: 4–7</w:t>
      </w:r>
      <w:r>
        <w:rPr>
          <w:lang w:val="ar_AE" w:bidi="ar_AE"/>
        </w:rPr>
        <w:t>). ينبغي على شعب الله أن يفعل ما يدعم تلك الرسالة (</w:t>
      </w:r>
      <w:r>
        <w:rPr>
          <w:lang w:val="ar_AE" w:bidi="ar_AE"/>
        </w:rPr>
        <w:t>2: 1–3: 13</w:t>
      </w:r>
      <w:r>
        <w:rPr>
          <w:lang w:val="ar_AE" w:bidi="ar_AE"/>
        </w:rPr>
        <w:t xml:space="preserve">؛ </w:t>
      </w:r>
      <w:r>
        <w:rPr>
          <w:lang w:val="ar_AE" w:bidi="ar_AE"/>
        </w:rPr>
        <w:t>5: 1–6: 2</w:t>
      </w:r>
      <w:r>
        <w:rPr>
          <w:lang w:val="ar_AE" w:bidi="ar_AE"/>
        </w:rPr>
        <w:t xml:space="preserve">؛ انظر </w:t>
      </w:r>
      <w:r>
        <w:rPr>
          <w:lang w:val="ar_AE" w:bidi="ar_AE"/>
        </w:rPr>
        <w:t>1 كورنثوس 9: 19–23</w:t>
      </w:r>
      <w:r>
        <w:rPr>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lang w:val="ar_AE" w:bidi="ar_AE"/>
        </w:rPr>
        <w:t>1 تيموثاوس 1: 15</w:t>
      </w:r>
      <w:r>
        <w:rPr>
          <w:lang w:val="ar_AE" w:bidi="ar_AE"/>
        </w:rPr>
        <w:t xml:space="preserve">؛ </w:t>
      </w:r>
      <w:r>
        <w:rPr>
          <w:lang w:val="ar_AE" w:bidi="ar_AE"/>
        </w:rPr>
        <w:t>2: 5–6</w:t>
      </w:r>
      <w:r>
        <w:rPr>
          <w:lang w:val="ar_AE" w:bidi="ar_AE"/>
        </w:rPr>
        <w:t xml:space="preserve">؛ </w:t>
      </w:r>
      <w:r>
        <w:rPr>
          <w:lang w:val="ar_AE" w:bidi="ar_AE"/>
        </w:rPr>
        <w:t>3: 16</w:t>
      </w:r>
      <w:r>
        <w:rPr>
          <w:lang w:val="ar_AE" w:bidi="ar_AE"/>
        </w:rPr>
        <w:t xml:space="preserve">؛ </w:t>
      </w:r>
      <w:r>
        <w:rPr>
          <w:lang w:val="ar_AE" w:bidi="ar_AE"/>
        </w:rPr>
        <w:t>6: 13–16</w:t>
      </w:r>
      <w:r>
        <w:rPr>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