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i/>
          <w:lang w:val="fr_FR" w:bidi="fr_FR"/>
        </w:rPr>
        <w:t>Juges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2"/>
      </w:pPr>
      <w:r>
        <w:rPr>
          <w:lang w:val="fr_FR" w:bidi="fr_FR"/>
        </w:rPr>
        <w:t>Contexte</w:t>
      </w:r>
    </w:p>
    <w:p>
      <w:pPr/>
      <w:r>
        <w:rPr>
          <w:lang w:val="fr_FR" w:bidi="fr_FR"/>
        </w:rPr>
      </w:r>
      <w:r>
        <w:rPr>
          <w:lang w:val="fr_FR" w:bidi="fr_FR"/>
        </w:rP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pPr/>
      <w:r>
        <w:rPr>
          <w:lang w:val="fr_FR" w:bidi="fr_FR"/>
        </w:rPr>
      </w:r>
      <w:r>
        <w:rPr>
          <w:lang w:val="fr_FR" w:bidi="fr_FR"/>
        </w:rP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pPr/>
      <w:r>
        <w:rPr>
          <w:lang w:val="fr_FR" w:bidi="fr_FR"/>
        </w:rPr>
      </w:r>
      <w:r>
        <w:rPr>
          <w:lang w:val="fr_FR" w:bidi="fr_FR"/>
        </w:rPr>
        <w:t>Le livre des Juges identifie deux causes principales aux défaillances d’Israël. Premièrement, les prologues (</w:t>
      </w:r>
      <w:hyperlink r:id="rId15">
        <w:r>
          <w:rPr>
            <w:lang w:val="fr_FR" w:bidi="fr_FR"/>
          </w:rPr>
          <w:rPr>
            <w:color w:val="0000EE"/>
            <w:u w:val="single"/>
          </w:rPr>
          <w:t>1.1–2.5</w:t>
        </w:r>
      </w:hyperlink>
      <w:r>
        <w:rPr>
          <w:lang w:val="fr_FR" w:bidi="fr_FR"/>
        </w:rPr>
        <w:t xml:space="preserve"> et </w:t>
      </w:r>
      <w:hyperlink r:id="rId16">
        <w:r>
          <w:rPr>
            <w:lang w:val="fr_FR" w:bidi="fr_FR"/>
          </w:rPr>
          <w:rPr>
            <w:color w:val="0000EE"/>
            <w:u w:val="single"/>
          </w:rPr>
          <w:t>2.6–3.6</w:t>
        </w:r>
      </w:hyperlink>
      <w:r>
        <w:rPr>
          <w:lang w:val="fr_FR" w:bidi="fr_FR"/>
        </w:rPr>
        <w:t xml:space="preserve">) expliquent que les tribus ont échoué à prendre possession de leur territoire en cédant aux influences cananéennes au lieu de rester fidèles à l’alliance donnée par Moïse. Le second problème est abordé dans les épilogues (chap. </w:t>
      </w:r>
      <w:hyperlink r:id="rId17">
        <w:r>
          <w:rPr>
            <w:lang w:val="fr_FR" w:bidi="fr_FR"/>
          </w:rPr>
          <w:rPr>
            <w:color w:val="0000EE"/>
            <w:u w:val="single"/>
          </w:rPr>
          <w:t>17–21</w:t>
        </w:r>
      </w:hyperlink>
      <w:r>
        <w:rPr>
          <w:lang w:val="fr_FR" w:bidi="fr_FR"/>
        </w:rPr>
        <w:t xml:space="preserve">) et résumé par la formule récurrente : « </w:t>
      </w:r>
      <w:r>
        <w:rPr>
          <w:lang w:val="fr_FR" w:bidi="fr_FR"/>
        </w:rPr>
        <w:t>En ce temps-là, il n’y avait point de roi en Israël. Chacun faisait ce qui lui semblait bon</w:t>
      </w:r>
      <w:r>
        <w:rPr>
          <w:lang w:val="fr_FR" w:bidi="fr_FR"/>
        </w:rPr>
        <w:t xml:space="preserve"> » (</w:t>
      </w:r>
      <w:hyperlink r:id="rId18">
        <w:r>
          <w:rPr>
            <w:lang w:val="fr_FR" w:bidi="fr_FR"/>
          </w:rPr>
          <w:rPr>
            <w:color w:val="0000EE"/>
            <w:u w:val="single"/>
          </w:rPr>
          <w:t>17.6</w:t>
        </w:r>
      </w:hyperlink>
      <w:r>
        <w:rPr>
          <w:lang w:val="fr_FR" w:bidi="fr_FR"/>
        </w:rPr>
        <w:t xml:space="preserve"> ; </w:t>
      </w:r>
      <w:hyperlink r:id="rId19">
        <w:r>
          <w:rPr>
            <w:lang w:val="fr_FR" w:bidi="fr_FR"/>
          </w:rPr>
          <w:rPr>
            <w:color w:val="0000EE"/>
            <w:u w:val="single"/>
          </w:rPr>
          <w:t>18.1</w:t>
        </w:r>
      </w:hyperlink>
      <w:r>
        <w:rPr>
          <w:lang w:val="fr_FR" w:bidi="fr_FR"/>
        </w:rPr>
        <w:t xml:space="preserve"> ; </w:t>
      </w:r>
      <w:hyperlink r:id="rId20">
        <w:r>
          <w:rPr>
            <w:lang w:val="fr_FR" w:bidi="fr_FR"/>
          </w:rPr>
          <w:rPr>
            <w:color w:val="0000EE"/>
            <w:u w:val="single"/>
          </w:rPr>
          <w:t>19.1</w:t>
        </w:r>
      </w:hyperlink>
      <w:r>
        <w:rPr>
          <w:lang w:val="fr_FR" w:bidi="fr_FR"/>
        </w:rPr>
        <w:t xml:space="preserve"> ; </w:t>
      </w:r>
      <w:hyperlink r:id="rId21">
        <w:r>
          <w:rPr>
            <w:lang w:val="fr_FR" w:bidi="fr_FR"/>
          </w:rPr>
          <w:rPr>
            <w:color w:val="0000EE"/>
            <w:u w:val="single"/>
          </w:rPr>
          <w:t>21.25</w:t>
        </w:r>
      </w:hyperlink>
      <w:r>
        <w:rPr>
          <w:lang w:val="fr_FR" w:bidi="fr_FR"/>
        </w:rPr>
        <w:t>). Tandis que les prologues dénoncent l’infidélité envers Dieu, les épilogues soulignent la désorganisation sociale. L'ère des juges n’a pas su produire les institutions politiques stables nécessaires à l’accomplissement de la volonté divine.</w:t>
      </w:r>
    </w:p>
    <w:p>
      <w:pPr/>
      <w:r>
        <w:rPr>
          <w:lang w:val="fr_FR" w:bidi="fr_FR"/>
        </w:rPr>
      </w:r>
      <w:r>
        <w:rPr>
          <w:lang w:val="fr_FR" w:bidi="fr_FR"/>
        </w:rPr>
        <w:t xml:space="preserve">Cependant, le livre des Juges ne rejette pas le principe du leadership charismatique. Ce type de direction, initiée par Dieu, avait pour but de guider et de sauver Israël (voir </w:t>
      </w:r>
      <w:hyperlink r:id="rId22">
        <w:r>
          <w:rPr>
            <w:lang w:val="fr_FR" w:bidi="fr_FR"/>
          </w:rPr>
          <w:rPr>
            <w:color w:val="0000EE"/>
            <w:u w:val="single"/>
          </w:rPr>
          <w:t>2.16–19</w:t>
        </w:r>
      </w:hyperlink>
      <w:r>
        <w:rPr>
          <w:lang w:val="fr_FR" w:bidi="fr_FR"/>
        </w:rPr>
        <w:t xml:space="preserve">). Ces récits valorisent le </w:t>
      </w:r>
      <w:r>
        <w:rPr>
          <w:i/>
          <w:lang w:val="fr_FR" w:bidi="fr_FR"/>
        </w:rPr>
        <w:t xml:space="preserve">« </w:t>
      </w:r>
      <w:r>
        <w:rPr>
          <w:lang w:val="fr_FR" w:bidi="fr_FR"/>
        </w:rPr>
        <w:t xml:space="preserve">modèle des leaders </w:t>
      </w:r>
      <w:r>
        <w:rPr>
          <w:i/>
          <w:lang w:val="fr_FR" w:bidi="fr_FR"/>
        </w:rPr>
        <w:t>»</w:t>
      </w:r>
      <w:r>
        <w:rPr>
          <w:lang w:val="fr_FR" w:bidi="fr_FR"/>
        </w:rPr>
        <w:t>, tout en reconnaissant que la véritable faiblesse de l’époque résidait dans le péché du peuple, et non dans l’insuffisance des dirigeants inspirés. Pour le livre des Juges, une forme de gouvernement différente s’avérait nécessaire.</w:t>
      </w:r>
    </w:p>
    <w:p>
      <w:pPr>
        <w:pStyle w:val="Heading2"/>
      </w:pPr>
      <w:r>
        <w:rPr>
          <w:b/>
          <w:lang w:val="fr_FR" w:bidi="fr_FR"/>
        </w:rPr>
        <w:t>Structure</w:t>
      </w:r>
    </w:p>
    <w:p>
      <w:pPr/>
      <w:r>
        <w:rPr>
          <w:lang w:val="fr_FR" w:bidi="fr_FR"/>
        </w:rPr>
      </w:r>
      <w:r>
        <w:rPr>
          <w:lang w:val="fr_FR" w:bidi="fr_FR"/>
        </w:rPr>
        <w:t xml:space="preserve">Le livre suit un schéma A-B-A, débutant par deux prologues marqués par la mort de Josué, événement déterminant dans l’histoire nationale d’Israël, faisant écho à </w:t>
      </w:r>
      <w:hyperlink r:id="rId23">
        <w:r>
          <w:rPr>
            <w:lang w:val="fr_FR" w:bidi="fr_FR"/>
          </w:rPr>
          <w:rPr>
            <w:color w:val="0000EE"/>
            <w:u w:val="single"/>
          </w:rPr>
          <w:t>Jos 24.28–31</w:t>
        </w:r>
      </w:hyperlink>
      <w:r>
        <w:rPr>
          <w:lang w:val="fr_FR" w:bidi="fr_FR"/>
        </w:rPr>
        <w:t>. Le premier prologue (</w:t>
      </w:r>
      <w:hyperlink r:id="rId15">
        <w:r>
          <w:rPr>
            <w:lang w:val="fr_FR" w:bidi="fr_FR"/>
          </w:rPr>
          <w:rPr>
            <w:color w:val="0000EE"/>
            <w:u w:val="single"/>
          </w:rPr>
          <w:t>Jg 1.1–2.5</w:t>
        </w:r>
      </w:hyperlink>
      <w:r>
        <w:rPr>
          <w:lang w:val="fr_FR" w:bidi="fr_FR"/>
        </w:rPr>
        <w:t>) montre l’échec des tribus à respecter l’alliance, en se contentant d’une conquête partielle du pays, ce qui a entraîné le retrait de la protection divine (</w:t>
      </w:r>
      <w:hyperlink r:id="rId24">
        <w:r>
          <w:rPr>
            <w:lang w:val="fr_FR" w:bidi="fr_FR"/>
          </w:rPr>
          <w:rPr>
            <w:color w:val="0000EE"/>
            <w:u w:val="single"/>
          </w:rPr>
          <w:t>2.1–3</w:t>
        </w:r>
      </w:hyperlink>
      <w:r>
        <w:rPr>
          <w:lang w:val="fr_FR" w:bidi="fr_FR"/>
        </w:rPr>
        <w:t>).</w:t>
      </w:r>
    </w:p>
    <w:p>
      <w:pPr/>
      <w:r>
        <w:rPr>
          <w:lang w:val="fr_FR" w:bidi="fr_FR"/>
        </w:rPr>
      </w:r>
      <w:r>
        <w:rPr>
          <w:lang w:val="fr_FR" w:bidi="fr_FR"/>
        </w:rPr>
        <w:t>Le second prologue (</w:t>
      </w:r>
      <w:hyperlink r:id="rId16">
        <w:r>
          <w:rPr>
            <w:lang w:val="fr_FR" w:bidi="fr_FR"/>
          </w:rPr>
          <w:rPr>
            <w:color w:val="0000EE"/>
            <w:u w:val="single"/>
          </w:rPr>
          <w:t>2.6–3.6</w:t>
        </w:r>
      </w:hyperlink>
      <w:r>
        <w:rPr>
          <w:lang w:val="fr_FR" w:bidi="fr_FR"/>
        </w:rP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rPr>
          <w:lang w:val="fr_FR" w:bidi="fr_FR"/>
        </w:rPr>
        <w:t>qui ne connaissait point l’Éternel, ni ce qu’il avait fait en faveur d’Israël</w:t>
      </w:r>
      <w:r>
        <w:rPr>
          <w:lang w:val="fr_FR" w:bidi="fr_FR"/>
        </w:rPr>
        <w:t xml:space="preserve"> » (</w:t>
      </w:r>
      <w:hyperlink r:id="rId25">
        <w:r>
          <w:rPr>
            <w:lang w:val="fr_FR" w:bidi="fr_FR"/>
          </w:rPr>
          <w:rPr>
            <w:color w:val="0000EE"/>
            <w:u w:val="single"/>
          </w:rPr>
          <w:t>2.10</w:t>
        </w:r>
      </w:hyperlink>
      <w:r>
        <w:rPr>
          <w:lang w:val="fr_FR" w:bidi="fr_FR"/>
        </w:rPr>
        <w:t>). Le récit introduit ensuite les juges envoyés par Dieu pour sauver Israël et les ramener à l’obéissance de l’alliance (</w:t>
      </w:r>
      <w:hyperlink r:id="rId26">
        <w:r>
          <w:rPr>
            <w:lang w:val="fr_FR" w:bidi="fr_FR"/>
          </w:rPr>
          <w:rPr>
            <w:color w:val="0000EE"/>
            <w:u w:val="single"/>
          </w:rPr>
          <w:t>2.16</w:t>
        </w:r>
      </w:hyperlink>
      <w:r>
        <w:rPr>
          <w:lang w:val="fr_FR" w:bidi="fr_FR"/>
        </w:rPr>
        <w:t>), leur fidélité devant se manifester par l’occupation du pays promis. Toutefois, dès le départ, l'échec de cette entreprise était annoncé (</w:t>
      </w:r>
      <w:hyperlink r:id="rId27">
        <w:r>
          <w:rPr>
            <w:lang w:val="fr_FR" w:bidi="fr_FR"/>
          </w:rPr>
          <w:rPr>
            <w:color w:val="0000EE"/>
            <w:u w:val="single"/>
          </w:rPr>
          <w:t>Jg 3.1–6</w:t>
        </w:r>
      </w:hyperlink>
      <w:r>
        <w:rPr>
          <w:lang w:val="fr_FR" w:bidi="fr_FR"/>
        </w:rPr>
        <w:t>).</w:t>
      </w:r>
    </w:p>
    <w:p>
      <w:pPr/>
      <w:r>
        <w:rPr>
          <w:lang w:val="fr_FR" w:bidi="fr_FR"/>
        </w:rPr>
      </w:r>
      <w:r>
        <w:rPr>
          <w:lang w:val="fr_FR" w:bidi="fr_FR"/>
        </w:rPr>
        <w:t>La section centrale (</w:t>
      </w:r>
      <w:hyperlink r:id="rId28">
        <w:r>
          <w:rPr>
            <w:lang w:val="fr_FR" w:bidi="fr_FR"/>
          </w:rPr>
          <w:rPr>
            <w:color w:val="0000EE"/>
            <w:u w:val="single"/>
          </w:rPr>
          <w:t>3.7–16.31</w:t>
        </w:r>
      </w:hyperlink>
      <w:r>
        <w:rPr>
          <w:lang w:val="fr_FR" w:bidi="fr_FR"/>
        </w:rPr>
        <w:t xml:space="preserve">) contient des récits organisés en « cycles » : six juges majeurs (Othniel, Éhud, Débora, Gédéon, Jephthé et Samson) et six juges mineurs (Schamgar, Thola, Jaïr, Ibtsan, Élon et Abdon). Cette section mentionne aussi un chef non charismatique, Abimélec (chap. </w:t>
      </w:r>
      <w:hyperlink r:id="rId29">
        <w:r>
          <w:rPr>
            <w:lang w:val="fr_FR" w:bidi="fr_FR"/>
          </w:rPr>
          <w:rPr>
            <w:color w:val="0000EE"/>
            <w:u w:val="single"/>
          </w:rPr>
          <w:t>9</w:t>
        </w:r>
      </w:hyperlink>
      <w:r>
        <w:rPr>
          <w:lang w:val="fr_FR" w:bidi="fr_FR"/>
        </w:rP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rPr>
          <w:lang w:val="fr_FR" w:bidi="fr_FR"/>
        </w:rPr>
        <w:t>12.8</w:t>
      </w:r>
      <w:r>
        <w:rPr>
          <w:lang w:val="fr_FR" w:bidi="fr_FR"/>
        </w:rPr>
        <w:t xml:space="preserve">). Le déclin progressif du récit souligne l’urgence d’un pouvoir centralisé. </w:t>
      </w:r>
    </w:p>
    <w:p>
      <w:pPr/>
      <w:r>
        <w:rPr>
          <w:lang w:val="fr_FR" w:bidi="fr_FR"/>
        </w:rPr>
      </w:r>
      <w:r>
        <w:rPr>
          <w:lang w:val="fr_FR" w:bidi="fr_FR"/>
        </w:rPr>
        <w:t xml:space="preserve">Les deux épilogues (chap. </w:t>
      </w:r>
      <w:hyperlink r:id="rId30">
        <w:r>
          <w:rPr>
            <w:lang w:val="fr_FR" w:bidi="fr_FR"/>
          </w:rPr>
          <w:rPr>
            <w:color w:val="0000EE"/>
            <w:u w:val="single"/>
          </w:rPr>
          <w:t>17–18</w:t>
        </w:r>
      </w:hyperlink>
      <w:r>
        <w:rPr>
          <w:lang w:val="fr_FR" w:bidi="fr_FR"/>
        </w:rPr>
        <w:t xml:space="preserve"> ; </w:t>
      </w:r>
      <w:hyperlink r:id="rId31">
        <w:r>
          <w:rPr>
            <w:lang w:val="fr_FR" w:bidi="fr_FR"/>
          </w:rPr>
          <w:rPr>
            <w:color w:val="0000EE"/>
            <w:u w:val="single"/>
          </w:rPr>
          <w:t>19–21</w:t>
        </w:r>
      </w:hyperlink>
      <w:r>
        <w:rPr>
          <w:lang w:val="fr_FR" w:bidi="fr_FR"/>
        </w:rPr>
        <w:t xml:space="preserve">) mettent en lumière l’échec historique et théologique d’Israël au temps des juges, ainsi que le désordre spirituel et social qui en résultait. Le refrain récurrent : « </w:t>
      </w:r>
      <w:r>
        <w:rPr>
          <w:lang w:val="fr_FR" w:bidi="fr_FR"/>
        </w:rPr>
        <w:t>En ce temps-là, il n’y avait point de roi</w:t>
      </w:r>
      <w:r>
        <w:rPr>
          <w:lang w:val="fr_FR" w:bidi="fr_FR"/>
        </w:rPr>
        <w:t xml:space="preserve"> » est renforcé par l'expression « </w:t>
      </w:r>
      <w:r>
        <w:rPr>
          <w:lang w:val="fr_FR" w:bidi="fr_FR"/>
        </w:rPr>
        <w:t>chacun faisait ce qui lui semblait bon</w:t>
      </w:r>
      <w:r>
        <w:rPr>
          <w:lang w:val="fr_FR" w:bidi="fr_FR"/>
        </w:rPr>
        <w:t xml:space="preserve"> », qu'on retrouve à deux reprises (voir </w:t>
      </w:r>
      <w:hyperlink r:id="rId18">
        <w:r>
          <w:rPr>
            <w:lang w:val="fr_FR" w:bidi="fr_FR"/>
          </w:rPr>
          <w:rPr>
            <w:color w:val="0000EE"/>
            <w:u w:val="single"/>
          </w:rPr>
          <w:t>17.6</w:t>
        </w:r>
      </w:hyperlink>
      <w:r>
        <w:rPr>
          <w:lang w:val="fr_FR" w:bidi="fr_FR"/>
        </w:rPr>
        <w:t xml:space="preserve"> ; </w:t>
      </w:r>
      <w:hyperlink r:id="rId19">
        <w:r>
          <w:rPr>
            <w:lang w:val="fr_FR" w:bidi="fr_FR"/>
          </w:rPr>
          <w:rPr>
            <w:color w:val="0000EE"/>
            <w:u w:val="single"/>
          </w:rPr>
          <w:t>18.1</w:t>
        </w:r>
      </w:hyperlink>
      <w:r>
        <w:rPr>
          <w:lang w:val="fr_FR" w:bidi="fr_FR"/>
        </w:rPr>
        <w:t xml:space="preserve"> ; </w:t>
      </w:r>
      <w:hyperlink r:id="rId20">
        <w:r>
          <w:rPr>
            <w:lang w:val="fr_FR" w:bidi="fr_FR"/>
          </w:rPr>
          <w:rPr>
            <w:color w:val="0000EE"/>
            <w:u w:val="single"/>
          </w:rPr>
          <w:t>19.1</w:t>
        </w:r>
      </w:hyperlink>
      <w:r>
        <w:rPr>
          <w:lang w:val="fr_FR" w:bidi="fr_FR"/>
        </w:rPr>
        <w:t xml:space="preserve"> ; </w:t>
      </w:r>
      <w:hyperlink r:id="rId21">
        <w:r>
          <w:rPr>
            <w:lang w:val="fr_FR" w:bidi="fr_FR"/>
          </w:rPr>
          <w:rPr>
            <w:color w:val="0000EE"/>
            <w:u w:val="single"/>
          </w:rPr>
          <w:t>21.25</w:t>
        </w:r>
      </w:hyperlink>
      <w:r>
        <w:rPr>
          <w:lang w:val="fr_FR" w:bidi="fr_FR"/>
        </w:rPr>
        <w:t>). Cette conclusion prépare le terrain pour une nouvelle forme de leadership remédiant à l’essoufflement du modèle charismatique individuel.</w:t>
      </w:r>
    </w:p>
    <w:p>
      <w:pPr>
        <w:pStyle w:val="Heading2"/>
      </w:pPr>
      <w:r>
        <w:rPr>
          <w:b/>
          <w:lang w:val="fr_FR" w:bidi="fr_FR"/>
        </w:rPr>
        <w:t>Auteurs et date</w:t>
      </w:r>
    </w:p>
    <w:p>
      <w:pPr/>
      <w:r>
        <w:rPr>
          <w:lang w:val="fr_FR" w:bidi="fr_FR"/>
        </w:rPr>
      </w:r>
      <w:r>
        <w:rPr>
          <w:lang w:val="fr_FR" w:bidi="fr_FR"/>
        </w:rP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pPr/>
      <w:r>
        <w:rPr>
          <w:lang w:val="fr_FR" w:bidi="fr_FR"/>
        </w:rPr>
      </w:r>
      <w:r>
        <w:rPr>
          <w:lang w:val="fr_FR" w:bidi="fr_FR"/>
        </w:rPr>
        <w:t>Les derniers chapitres de 2 Rois (</w:t>
      </w:r>
      <w:hyperlink r:id="rId32">
        <w:r>
          <w:rPr>
            <w:lang w:val="fr_FR" w:bidi="fr_FR"/>
          </w:rPr>
          <w:rPr>
            <w:color w:val="0000EE"/>
            <w:u w:val="single"/>
          </w:rPr>
          <w:t>2R 25.27–30</w:t>
        </w:r>
      </w:hyperlink>
      <w:r>
        <w:rPr>
          <w:lang w:val="fr_FR" w:bidi="fr_FR"/>
        </w:rP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2"/>
      </w:pPr>
      <w:r>
        <w:rPr>
          <w:lang w:val="fr_FR" w:bidi="fr_FR"/>
        </w:rPr>
        <w:t>Chronologie</w:t>
      </w:r>
    </w:p>
    <w:p>
      <w:pPr/>
      <w:r>
        <w:rPr>
          <w:lang w:val="fr_FR" w:bidi="fr_FR"/>
        </w:rPr>
      </w:r>
      <w:r>
        <w:rPr>
          <w:lang w:val="fr_FR" w:bidi="fr_FR"/>
        </w:rP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hyperlink r:id="rId33">
        <w:r>
          <w:rPr>
            <w:lang w:val="fr_FR" w:bidi="fr_FR"/>
          </w:rPr>
          <w:rPr>
            <w:color w:val="0000EE"/>
            <w:u w:val="single"/>
          </w:rPr>
          <w:t>Jg 11.26</w:t>
        </w:r>
      </w:hyperlink>
      <w:r>
        <w:rPr>
          <w:lang w:val="fr_FR" w:bidi="fr_FR"/>
        </w:rPr>
        <w:t xml:space="preserve"> et </w:t>
      </w:r>
      <w:hyperlink r:id="rId34">
        <w:r>
          <w:rPr>
            <w:lang w:val="fr_FR" w:bidi="fr_FR"/>
          </w:rPr>
          <w:rPr>
            <w:color w:val="0000EE"/>
            <w:u w:val="single"/>
          </w:rPr>
          <w:t>1R 6.1</w:t>
        </w:r>
      </w:hyperlink>
      <w:r>
        <w:rPr>
          <w:lang w:val="fr_FR" w:bidi="fr_FR"/>
        </w:rPr>
        <w:t>. Une chronologie courte (avec un Exode plus récent) correspond mieux aux preuves externes (telles que les découvertes archéologiques), mais elle force la période des juges à se situer dans un cadre temporel relativement court.</w:t>
      </w:r>
    </w:p>
    <w:p>
      <w:pPr/>
      <w:r>
        <w:rPr>
          <w:lang w:val="fr_FR" w:bidi="fr_FR"/>
        </w:rPr>
      </w:r>
      <w:r>
        <w:rPr>
          <w:lang w:val="fr_FR" w:bidi="fr_FR"/>
        </w:rPr>
        <w:t xml:space="preserve">Israël est entré en Canaan soit en 1406, soit en 1230 av. J.-C., selon la datation choisie (voir </w:t>
      </w:r>
      <w:r>
        <w:rPr>
          <w:lang w:val="fr_FR" w:bidi="fr_FR"/>
        </w:rPr>
        <w:t>Introduction au Livre de l'Exode</w:t>
      </w:r>
      <w:r>
        <w:rPr>
          <w:lang w:val="fr_FR" w:bidi="fr_FR"/>
        </w:rPr>
        <w:t>, « La Date de l'Exode »). Par la suite, le peuple vécut dans le pays, connaissant des cycles d’oppression par les nations voisines, suivis de délivrances opérées par différents juges, jusqu’à l’onction de Saül comme roi vers 1050 av. J.-C.</w:t>
      </w:r>
    </w:p>
    <w:p>
      <w:pPr/>
      <w:r>
        <w:rPr>
          <w:lang w:val="fr_FR" w:bidi="fr_FR"/>
        </w:rPr>
      </w:r>
      <w:r>
        <w:rPr>
          <w:lang w:val="fr_FR" w:bidi="fr_FR"/>
        </w:rP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pPr/>
      <w:r>
        <w:rPr>
          <w:lang w:val="fr_FR" w:bidi="fr_FR"/>
        </w:rPr>
      </w:r>
      <w:r>
        <w:rPr>
          <w:lang w:val="fr_FR" w:bidi="fr_FR"/>
        </w:rPr>
        <w:t xml:space="preserve">Une explication possible est que plusieurs juges ont exercé leur autorité en même temps. Par exemple, </w:t>
      </w:r>
      <w:hyperlink r:id="rId35">
        <w:r>
          <w:rPr>
            <w:lang w:val="fr_FR" w:bidi="fr_FR"/>
          </w:rPr>
          <w:rPr>
            <w:color w:val="0000EE"/>
            <w:u w:val="single"/>
          </w:rPr>
          <w:t>Jg 10.7</w:t>
        </w:r>
      </w:hyperlink>
      <w:r>
        <w:rPr>
          <w:lang w:val="fr_FR" w:bidi="fr_FR"/>
        </w:rPr>
        <w:t xml:space="preserve"> déclare : « </w:t>
      </w:r>
      <w:r>
        <w:rPr>
          <w:lang w:val="fr_FR" w:bidi="fr_FR"/>
        </w:rPr>
        <w:t>La colère de l’Éternel s’enflamma contre Israël, et il les vendit entre les mains des Philistins et entre les mains des fils d’Ammon</w:t>
      </w:r>
      <w:r>
        <w:rPr>
          <w:lang w:val="fr_FR" w:bidi="fr_FR"/>
        </w:rPr>
        <w:t xml:space="preserve"> ». Cela signifie probablement que Jephthé a combattu les Ammonites au nord-est tandis que Samson luttait contre les Philistins au sud-ouest.</w:t>
      </w:r>
    </w:p>
    <w:p>
      <w:pPr/>
      <w:r>
        <w:rPr>
          <w:lang w:val="fr_FR" w:bidi="fr_FR"/>
        </w:rPr>
      </w:r>
      <w:r>
        <w:rPr>
          <w:lang w:val="fr_FR" w:bidi="fr_FR"/>
        </w:rPr>
        <w:t>Dans certains cas, la succession est explicite. Par exemple, Schamgar a jugé « Après lui [c'est-à-dire Éhud] » (</w:t>
      </w:r>
      <w:hyperlink r:id="rId36">
        <w:r>
          <w:rPr>
            <w:lang w:val="fr_FR" w:bidi="fr_FR"/>
          </w:rPr>
          <w:rPr>
            <w:color w:val="0000EE"/>
            <w:u w:val="single"/>
          </w:rPr>
          <w:t>3.31</w:t>
        </w:r>
      </w:hyperlink>
      <w:r>
        <w:rPr>
          <w:lang w:val="fr_FR" w:bidi="fr_FR"/>
        </w:rPr>
        <w:t>) et Débora «</w:t>
      </w:r>
      <w:r>
        <w:rPr>
          <w:lang w:val="fr_FR" w:bidi="fr_FR"/>
        </w:rPr>
        <w:t>après qu’Éhud fut mort</w:t>
      </w:r>
      <w:r>
        <w:rPr>
          <w:lang w:val="fr_FR" w:bidi="fr_FR"/>
        </w:rPr>
        <w:t xml:space="preserve"> » (</w:t>
      </w:r>
      <w:hyperlink r:id="rId37">
        <w:r>
          <w:rPr>
            <w:lang w:val="fr_FR" w:bidi="fr_FR"/>
          </w:rPr>
          <w:rPr>
            <w:color w:val="0000EE"/>
            <w:u w:val="single"/>
          </w:rPr>
          <w:t>4.1</w:t>
        </w:r>
      </w:hyperlink>
      <w:r>
        <w:rPr>
          <w:lang w:val="fr_FR" w:bidi="fr_FR"/>
        </w:rPr>
        <w:t xml:space="preserve"> ; voir aussi </w:t>
      </w:r>
      <w:hyperlink r:id="rId38">
        <w:r>
          <w:rPr>
            <w:lang w:val="fr_FR" w:bidi="fr_FR"/>
          </w:rPr>
          <w:rPr>
            <w:color w:val="0000EE"/>
            <w:u w:val="single"/>
          </w:rPr>
          <w:t>5.6</w:t>
        </w:r>
      </w:hyperlink>
      <w:r>
        <w:rPr>
          <w:lang w:val="fr_FR" w:bidi="fr_FR"/>
        </w:rP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pPr/>
      <w:r>
        <w:rPr>
          <w:lang w:val="fr_FR" w:bidi="fr_FR"/>
        </w:rPr>
      </w:r>
      <w:r>
        <w:rPr>
          <w:lang w:val="fr_FR" w:bidi="fr_FR"/>
        </w:rPr>
        <w:t>Ainsi, en tenant compte du caractère localisé de certains juges et du chevauchement possible entre eux, la période décrite s'intègre bien dans l'histoire.</w:t>
      </w:r>
    </w:p>
    <w:p>
      <w:pPr>
        <w:pStyle w:val="Heading2"/>
      </w:pPr>
      <w:r>
        <w:rPr>
          <w:lang w:val="fr_FR" w:bidi="fr_FR"/>
        </w:rPr>
        <w:t>Signification et message</w:t>
      </w:r>
    </w:p>
    <w:p>
      <w:pPr/>
      <w:r>
        <w:rPr>
          <w:lang w:val="fr_FR" w:bidi="fr_FR"/>
        </w:rPr>
      </w:r>
      <w:r>
        <w:rPr>
          <w:lang w:val="fr_FR" w:bidi="fr_FR"/>
        </w:rPr>
        <w:t>Quel type de leadership Dieu veut-il pour accomplir son œuvre ? Où son peuple peut-il trouver de tels leaders ? Le livre des Juges esquisse une réponse partielle à ces interrogations, sans offrir une solution définitive.</w:t>
      </w:r>
    </w:p>
    <w:p>
      <w:pPr/>
      <w:r>
        <w:rPr>
          <w:lang w:val="fr_FR" w:bidi="fr_FR"/>
        </w:rPr>
      </w:r>
      <w:r>
        <w:rPr>
          <w:lang w:val="fr_FR" w:bidi="fr_FR"/>
        </w:rP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pPr/>
      <w:r>
        <w:rPr>
          <w:lang w:val="fr_FR" w:bidi="fr_FR"/>
        </w:rPr>
      </w:r>
      <w:r>
        <w:rPr>
          <w:lang w:val="fr_FR" w:bidi="fr_FR"/>
        </w:rP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pPr/>
      <w:r>
        <w:rPr>
          <w:lang w:val="fr_FR" w:bidi="fr_FR"/>
        </w:rPr>
      </w:r>
      <w:r>
        <w:rPr>
          <w:lang w:val="fr_FR" w:bidi="fr_FR"/>
        </w:rP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pPr/>
      <w:r>
        <w:rPr>
          <w:lang w:val="fr_FR" w:bidi="fr_FR"/>
        </w:rPr>
      </w:r>
      <w:r>
        <w:rPr>
          <w:lang w:val="fr_FR" w:bidi="fr_FR"/>
        </w:rP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hyperlink r:id="rId39">
        <w:r>
          <w:rPr>
            <w:lang w:val="fr_FR" w:bidi="fr_FR"/>
          </w:rPr>
          <w:rPr>
            <w:color w:val="0000EE"/>
            <w:u w:val="single"/>
          </w:rPr>
          <w:t>2S 7.1–29</w:t>
        </w:r>
      </w:hyperlink>
      <w:r>
        <w:rPr>
          <w:lang w:val="fr_FR" w:bidi="fr_FR"/>
        </w:rPr>
        <w:t>). L’idéal divin unit ainsi direction inspirée et autorité officielle. Les juges et rois d’Israël, avec toutes leurs limites, annoncent Jésus, le roi charismatique parfait qui combine en sa personne les qualités manquantes chez chacun de ses prédécesseurs.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