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5">
        <w:r>
          <w:rPr>
            <w:lang w:val="fr_FR" w:bidi="fr_FR"/>
          </w:rPr>
          <w:rPr>
            <w:color w:val="0000EE"/>
            <w:u w:val="single"/>
          </w:rPr>
          <w:t>2R 21.1–7</w:t>
        </w:r>
      </w:hyperlink>
      <w:r>
        <w:rPr>
          <w:lang w:val="fr_FR" w:bidi="fr_FR"/>
        </w:rPr>
        <w:t xml:space="preserve">). Cette infidélité spirituelle avait rendu Juda spirituellement stérile (voir toutefois </w:t>
      </w:r>
      <w:hyperlink r:id="rId16">
        <w:r>
          <w:rPr>
            <w:lang w:val="fr_FR" w:bidi="fr_FR"/>
          </w:rPr>
          <w:rPr>
            <w:color w:val="0000EE"/>
            <w:u w:val="single"/>
          </w:rPr>
          <w:t>2Ch 33.10–17</w:t>
        </w:r>
      </w:hyperlink>
      <w:r>
        <w:rPr>
          <w:lang w:val="fr_FR" w:bidi="fr_FR"/>
        </w:rPr>
        <w:t>). Le fils de Manassé, Amon, suivant le mauvais exemple de son père, avait poursuivi dans cette voie pendant son bref règne (</w:t>
      </w:r>
      <w:hyperlink r:id="rId17">
        <w:r>
          <w:rPr>
            <w:lang w:val="fr_FR" w:bidi="fr_FR"/>
          </w:rPr>
          <w:rPr>
            <w:color w:val="0000EE"/>
            <w:u w:val="single"/>
          </w:rPr>
          <w:t>2R 21.21</w:t>
        </w:r>
      </w:hyperlink>
      <w:r>
        <w:rPr>
          <w:lang w:val="fr_FR" w:bidi="fr_FR"/>
        </w:rPr>
        <w:t>). Après son assassinat par des serviteurs du palais à Jérusalem, le peuple avait rapidement placé sur le trône son fils, Josias, roi de Juda, alors âgé de huit ans (</w:t>
      </w:r>
      <w:hyperlink r:id="rId18">
        <w:r>
          <w:rPr>
            <w:lang w:val="fr_FR" w:bidi="fr_FR"/>
          </w:rPr>
          <w:rPr>
            <w:color w:val="0000EE"/>
            <w:u w:val="single"/>
          </w:rPr>
          <w:t>2R 21.23–24</w:t>
        </w:r>
      </w:hyperlink>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hyperlink r:id="rId19">
        <w:r>
          <w:rPr>
            <w:lang w:val="fr_FR" w:bidi="fr_FR"/>
          </w:rPr>
          <w:rPr>
            <w:color w:val="0000EE"/>
            <w:u w:val="single"/>
          </w:rPr>
          <w:t>2Ch 34.3–7</w:t>
        </w:r>
      </w:hyperlink>
      <w:r>
        <w:rPr>
          <w:lang w:val="fr_FR" w:bidi="fr_FR"/>
        </w:rPr>
        <w:t>). Puis, à sa dix-huitième année, il avait financé la restauration du temple afin que les sacrificateurs et le peuple puissent y adorer le seul vrai Dieu (</w:t>
      </w:r>
      <w:hyperlink r:id="rId20">
        <w:r>
          <w:rPr>
            <w:lang w:val="fr_FR" w:bidi="fr_FR"/>
          </w:rPr>
          <w:rPr>
            <w:color w:val="0000EE"/>
            <w:u w:val="single"/>
          </w:rPr>
          <w:t>2Ch 34.8</w:t>
        </w:r>
      </w:hyperlink>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hyperlink r:id="rId21">
        <w:r>
          <w:rPr>
            <w:lang w:val="fr_FR" w:bidi="fr_FR"/>
          </w:rPr>
          <w:rPr>
            <w:color w:val="0000EE"/>
            <w:u w:val="single"/>
          </w:rPr>
          <w:t>2R 23.29</w:t>
        </w:r>
      </w:hyperlink>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hyperlink r:id="rId22">
        <w:r>
          <w:rPr>
            <w:lang w:val="fr_FR" w:bidi="fr_FR"/>
          </w:rPr>
          <w:rPr>
            <w:color w:val="0000EE"/>
            <w:u w:val="single"/>
          </w:rPr>
          <w:t>chap. 1</w:t>
        </w:r>
      </w:hyperlink>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hyperlink r:id="rId23">
        <w:r>
          <w:rPr>
            <w:lang w:val="fr_FR" w:bidi="fr_FR"/>
          </w:rPr>
          <w:rPr>
            <w:color w:val="0000EE"/>
            <w:u w:val="single"/>
          </w:rPr>
          <w:t>chap. 2 à 20</w:t>
        </w:r>
      </w:hyperlink>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4">
        <w:r>
          <w:rPr>
            <w:lang w:val="fr_FR" w:bidi="fr_FR"/>
          </w:rPr>
          <w:rPr>
            <w:color w:val="0000EE"/>
            <w:u w:val="single"/>
          </w:rPr>
          <w:t xml:space="preserve"> chap. 11 à 20</w:t>
        </w:r>
      </w:hyperlink>
      <w:r>
        <w:rPr>
          <w:lang w:val="fr_FR" w:bidi="fr_FR"/>
        </w:rPr>
        <w:t>, Jérémie approfondit sa compréhension des projets divins.</w:t>
      </w:r>
    </w:p>
    <w:p>
      <w:pPr/>
      <w:r>
        <w:rPr>
          <w:lang w:val="fr_FR" w:bidi="fr_FR"/>
        </w:rPr>
      </w:r>
      <w:r>
        <w:rPr>
          <w:lang w:val="fr_FR" w:bidi="fr_FR"/>
        </w:rPr>
        <w:t xml:space="preserve">Les </w:t>
      </w:r>
      <w:hyperlink r:id="rId25">
        <w:r>
          <w:rPr>
            <w:lang w:val="fr_FR" w:bidi="fr_FR"/>
          </w:rPr>
          <w:rPr>
            <w:color w:val="0000EE"/>
            <w:u w:val="single"/>
          </w:rPr>
          <w:t>chap. 21 à 29</w:t>
        </w:r>
      </w:hyperlink>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hyperlink r:id="rId26">
        <w:r>
          <w:rPr>
            <w:lang w:val="fr_FR" w:bidi="fr_FR"/>
          </w:rPr>
          <w:rPr>
            <w:color w:val="0000EE"/>
            <w:u w:val="single"/>
          </w:rPr>
          <w:t>chap. 30 à 33</w:t>
        </w:r>
      </w:hyperlink>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7">
        <w:r>
          <w:rPr>
            <w:lang w:val="fr_FR" w:bidi="fr_FR"/>
          </w:rPr>
          <w:rPr>
            <w:color w:val="0000EE"/>
            <w:u w:val="single"/>
          </w:rPr>
          <w:t>33.15</w:t>
        </w:r>
      </w:hyperlink>
      <w:r>
        <w:rPr>
          <w:lang w:val="fr_FR" w:bidi="fr_FR"/>
        </w:rPr>
        <w:t>).</w:t>
      </w:r>
    </w:p>
    <w:p>
      <w:pPr/>
      <w:r>
        <w:rPr>
          <w:lang w:val="fr_FR" w:bidi="fr_FR"/>
        </w:rPr>
      </w:r>
      <w:r>
        <w:rPr>
          <w:lang w:val="fr_FR" w:bidi="fr_FR"/>
        </w:rPr>
        <w:t xml:space="preserve">Les </w:t>
      </w:r>
      <w:hyperlink r:id="rId28">
        <w:r>
          <w:rPr>
            <w:lang w:val="fr_FR" w:bidi="fr_FR"/>
          </w:rPr>
          <w:rPr>
            <w:color w:val="0000EE"/>
            <w:u w:val="single"/>
          </w:rPr>
          <w:t>chap. 34 à 45</w:t>
        </w:r>
      </w:hyperlink>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hyperlink r:id="rId29">
        <w:r>
          <w:rPr>
            <w:lang w:val="fr_FR" w:bidi="fr_FR"/>
          </w:rPr>
          <w:rPr>
            <w:color w:val="0000EE"/>
            <w:u w:val="single"/>
          </w:rPr>
          <w:t xml:space="preserve"> chap. 34 à 36</w:t>
        </w:r>
      </w:hyperlink>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hyperlink r:id="rId30">
        <w:r>
          <w:rPr>
            <w:lang w:val="fr_FR" w:bidi="fr_FR"/>
          </w:rPr>
          <w:rPr>
            <w:color w:val="0000EE"/>
            <w:u w:val="single"/>
          </w:rPr>
          <w:t>chap. 46–51</w:t>
        </w:r>
      </w:hyperlink>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hyperlink r:id="rId31">
        <w:r>
          <w:rPr>
            <w:lang w:val="fr_FR" w:bidi="fr_FR"/>
          </w:rPr>
          <w:rPr>
            <w:color w:val="0000EE"/>
            <w:u w:val="single"/>
          </w:rPr>
          <w:t>chap. 52</w:t>
        </w:r>
      </w:hyperlink>
      <w:r>
        <w:rPr>
          <w:lang w:val="fr_FR" w:bidi="fr_FR"/>
        </w:rPr>
        <w:t xml:space="preserve"> couvre la période comprise entre 586 et 561 av. J.-C. Il revient sur les derniers jours de Jérusalem et reprend, dans les grandes lignes, les récits de </w:t>
      </w:r>
      <w:hyperlink r:id="rId32">
        <w:r>
          <w:rPr>
            <w:lang w:val="fr_FR" w:bidi="fr_FR"/>
          </w:rPr>
          <w:rPr>
            <w:color w:val="0000EE"/>
            <w:u w:val="single"/>
          </w:rPr>
          <w:t>2R 24.18–25.30</w:t>
        </w:r>
      </w:hyperlink>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hyperlink r:id="rId33">
        <w:r>
          <w:rPr>
            <w:lang w:val="fr_FR" w:bidi="fr_FR"/>
          </w:rPr>
          <w:rPr>
            <w:color w:val="0000EE"/>
            <w:u w:val="single"/>
          </w:rPr>
          <w:t>Jr 36.1–26</w:t>
        </w:r>
      </w:hyperlink>
      <w:r>
        <w:rPr>
          <w:lang w:val="fr_FR" w:bidi="fr_FR"/>
        </w:rPr>
        <w:t>). Ce dernier l’a fait brûler, mais Jérémie et Baruc ont rédigé à nouveau les messages, en y ajoutant de nombreux autres (</w:t>
      </w:r>
      <w:hyperlink r:id="rId34">
        <w:r>
          <w:rPr>
            <w:lang w:val="fr_FR" w:bidi="fr_FR"/>
          </w:rPr>
          <w:rPr>
            <w:color w:val="0000EE"/>
            <w:u w:val="single"/>
          </w:rPr>
          <w:t>36.32</w:t>
        </w:r>
      </w:hyperlink>
      <w:r>
        <w:rPr>
          <w:lang w:val="fr_FR" w:bidi="fr_FR"/>
        </w:rPr>
        <w:t xml:space="preserve">). Ce second rouleau constitue vraisemblablement le contenu des chap. </w:t>
      </w:r>
      <w:hyperlink r:id="rId23">
        <w:r>
          <w:rPr>
            <w:lang w:val="fr_FR" w:bidi="fr_FR"/>
          </w:rPr>
          <w:rPr>
            <w:color w:val="0000EE"/>
            <w:u w:val="single"/>
          </w:rPr>
          <w:t>2–20</w:t>
        </w:r>
      </w:hyperlink>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5">
        <w:r>
          <w:rPr>
            <w:lang w:val="fr_FR" w:bidi="fr_FR"/>
          </w:rPr>
          <w:rPr>
            <w:color w:val="0000EE"/>
            <w:u w:val="single"/>
          </w:rPr>
          <w:t>2S 10.1–19</w:t>
        </w:r>
      </w:hyperlink>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hyperlink r:id="rId36">
        <w:r>
          <w:rPr>
            <w:lang w:val="fr_FR" w:bidi="fr_FR"/>
          </w:rPr>
          <w:rPr>
            <w:color w:val="0000EE"/>
            <w:u w:val="single"/>
          </w:rPr>
          <w:t>Jr 2.9</w:t>
        </w:r>
      </w:hyperlink>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7">
        <w:r>
          <w:rPr>
            <w:lang w:val="fr_FR" w:bidi="fr_FR"/>
          </w:rPr>
          <w:rPr>
            <w:color w:val="0000EE"/>
            <w:u w:val="single"/>
          </w:rPr>
          <w:t>Jr 10.1–16</w:t>
        </w:r>
      </w:hyperlink>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hyperlink r:id="rId26">
        <w:r>
          <w:rPr>
            <w:lang w:val="fr_FR" w:bidi="fr_FR"/>
          </w:rPr>
          <w:rPr>
            <w:color w:val="0000EE"/>
            <w:u w:val="single"/>
          </w:rPr>
          <w:t>30–33</w:t>
        </w:r>
      </w:hyperlink>
      <w:r>
        <w:rPr>
          <w:lang w:val="fr_FR" w:bidi="fr_FR"/>
        </w:rPr>
        <w:t>. que s’exprime le plus clairement cette miséricorde. Ils annoncent une nouvelle alliance et un nouveau roi. Dieu ne détruirait plus, mais il planterait et reconstruirait (</w:t>
      </w:r>
      <w:hyperlink r:id="rId38">
        <w:r>
          <w:rPr>
            <w:lang w:val="fr_FR" w:bidi="fr_FR"/>
          </w:rPr>
          <w:rPr>
            <w:color w:val="0000EE"/>
            <w:u w:val="single"/>
          </w:rPr>
          <w:t>1.10</w:t>
        </w:r>
      </w:hyperlink>
      <w:r>
        <w:rPr>
          <w:lang w:val="fr_FR" w:bidi="fr_FR"/>
        </w:rPr>
        <w:t xml:space="preserve"> ; </w:t>
      </w:r>
      <w:hyperlink r:id="rId39">
        <w:r>
          <w:rPr>
            <w:lang w:val="fr_FR" w:bidi="fr_FR"/>
          </w:rPr>
          <w:rPr>
            <w:color w:val="0000EE"/>
            <w:u w:val="single"/>
          </w:rPr>
          <w:t>31.28</w:t>
        </w:r>
      </w:hyperlink>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hyperlink r:id="rId40">
        <w:r>
          <w:rPr>
            <w:lang w:val="fr_FR" w:bidi="fr_FR"/>
          </w:rPr>
          <w:rPr>
            <w:color w:val="0000EE"/>
            <w:u w:val="single"/>
          </w:rPr>
          <w:t>1.17–19</w:t>
        </w:r>
      </w:hyperlink>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hyperlink r:id="rId41">
        <w:r>
          <w:rPr>
            <w:lang w:val="fr_FR" w:bidi="fr_FR"/>
          </w:rPr>
          <w:rPr>
            <w:color w:val="0000EE"/>
            <w:u w:val="single"/>
          </w:rPr>
          <w:t>20.8–9</w:t>
        </w:r>
      </w:hyperlink>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2">
        <w:r>
          <w:rPr>
            <w:lang w:val="fr_FR" w:bidi="fr_FR"/>
          </w:rPr>
          <w:rPr>
            <w:color w:val="0000EE"/>
            <w:u w:val="single"/>
          </w:rPr>
          <w:t>15.16–18</w:t>
        </w:r>
      </w:hyperlink>
      <w:r>
        <w:rPr>
          <w:lang w:val="fr_FR" w:bidi="fr_FR"/>
        </w:rPr>
        <w:t xml:space="preserve"> ; comparer </w:t>
      </w:r>
      <w:hyperlink r:id="rId43">
        <w:r>
          <w:rPr>
            <w:lang w:val="fr_FR" w:bidi="fr_FR"/>
          </w:rPr>
          <w:rPr>
            <w:color w:val="0000EE"/>
            <w:u w:val="single"/>
          </w:rPr>
          <w:t>Mt 26.36–42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