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hyperlink r:id="rId15">
        <w:r>
          <w:rPr>
            <w:lang w:val="fr_FR" w:bidi="fr_FR"/>
          </w:rPr>
          <w:rPr>
            <w:color w:val="0000EE"/>
            <w:u w:val="single"/>
          </w:rPr>
          <w:t>1:1–4</w:t>
        </w:r>
      </w:hyperlink>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hyperlink r:id="rId16">
        <w:r>
          <w:rPr>
            <w:lang w:val="fr_FR" w:bidi="fr_FR"/>
          </w:rPr>
          <w:rPr>
            <w:color w:val="0000EE"/>
            <w:u w:val="single"/>
          </w:rPr>
          <w:t>1:5–2:51</w:t>
        </w:r>
      </w:hyperlink>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hyperlink r:id="rId17">
        <w:r>
          <w:rPr>
            <w:lang w:val="fr_FR" w:bidi="fr_FR"/>
          </w:rPr>
          <w:rPr>
            <w:color w:val="0000EE"/>
            <w:u w:val="single"/>
          </w:rPr>
          <w:t>3:1–20</w:t>
        </w:r>
      </w:hyperlink>
      <w:r>
        <w:rPr>
          <w:lang w:val="fr_FR" w:bidi="fr_FR"/>
        </w:rPr>
        <w:t>), du baptême de Jésus (</w:t>
      </w:r>
      <w:hyperlink r:id="rId18">
        <w:r>
          <w:rPr>
            <w:lang w:val="fr_FR" w:bidi="fr_FR"/>
          </w:rPr>
          <w:rPr>
            <w:color w:val="0000EE"/>
            <w:u w:val="single"/>
          </w:rPr>
          <w:t>3:21–22</w:t>
        </w:r>
      </w:hyperlink>
      <w:r>
        <w:rPr>
          <w:lang w:val="fr_FR" w:bidi="fr_FR"/>
        </w:rPr>
        <w:t>), de sa tentation (</w:t>
      </w:r>
      <w:hyperlink r:id="rId19">
        <w:r>
          <w:rPr>
            <w:lang w:val="fr_FR" w:bidi="fr_FR"/>
          </w:rPr>
          <w:rPr>
            <w:color w:val="0000EE"/>
            <w:u w:val="single"/>
          </w:rPr>
          <w:t>4:1–13</w:t>
        </w:r>
      </w:hyperlink>
      <w:r>
        <w:rPr>
          <w:lang w:val="fr_FR" w:bidi="fr_FR"/>
        </w:rPr>
        <w:t>), puis de son ministère en Galilée et dans les environs (</w:t>
      </w:r>
      <w:hyperlink r:id="rId20">
        <w:r>
          <w:rPr>
            <w:lang w:val="fr_FR" w:bidi="fr_FR"/>
          </w:rPr>
          <w:rPr>
            <w:color w:val="0000EE"/>
            <w:u w:val="single"/>
          </w:rPr>
          <w:t>4:14–9:50</w:t>
        </w:r>
      </w:hyperlink>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21">
        <w:r>
          <w:rPr>
            <w:lang w:val="fr_FR" w:bidi="fr_FR"/>
          </w:rPr>
          <w:rPr>
            <w:color w:val="0000EE"/>
            <w:u w:val="single"/>
          </w:rPr>
          <w:t>9:18–22</w:t>
        </w:r>
      </w:hyperlink>
      <w:r>
        <w:rPr>
          <w:lang w:val="fr_FR" w:bidi="fr_FR"/>
        </w:rPr>
        <w:t>). Ensuite, Jésus s’est mis en route pour Jérusalem, afin d’accomplir sa mission (</w:t>
      </w:r>
      <w:hyperlink r:id="rId22">
        <w:r>
          <w:rPr>
            <w:lang w:val="fr_FR" w:bidi="fr_FR"/>
          </w:rPr>
          <w:rPr>
            <w:color w:val="0000EE"/>
            <w:u w:val="single"/>
          </w:rPr>
          <w:t>9:51–19:44</w:t>
        </w:r>
      </w:hyperlink>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3">
        <w:r>
          <w:rPr>
            <w:lang w:val="fr_FR" w:bidi="fr_FR"/>
          </w:rPr>
          <w:rPr>
            <w:color w:val="0000EE"/>
            <w:u w:val="single"/>
          </w:rPr>
          <w:t>19:10</w:t>
        </w:r>
      </w:hyperlink>
      <w:r>
        <w:rPr>
          <w:lang w:val="fr_FR" w:bidi="fr_FR"/>
        </w:rPr>
        <w:t>).</w:t>
      </w:r>
    </w:p>
    <w:p>
      <w:pPr/>
      <w:r>
        <w:rPr>
          <w:lang w:val="fr_FR" w:bidi="fr_FR"/>
        </w:rPr>
      </w:r>
      <w:r>
        <w:rPr>
          <w:lang w:val="fr_FR" w:bidi="fr_FR"/>
        </w:rPr>
        <w:t>L’apogée de ce récit est l’arrestation, le procès et la crucifixion de Jésus (</w:t>
      </w:r>
      <w:hyperlink r:id="rId24">
        <w:r>
          <w:rPr>
            <w:lang w:val="fr_FR" w:bidi="fr_FR"/>
          </w:rPr>
          <w:rPr>
            <w:color w:val="0000EE"/>
            <w:u w:val="single"/>
          </w:rPr>
          <w:t>22:1–23:56</w:t>
        </w:r>
      </w:hyperlink>
      <w:r>
        <w:rPr>
          <w:lang w:val="fr_FR" w:bidi="fr_FR"/>
        </w:rPr>
        <w:t xml:space="preserve">). Le thème central de la crucifixion dans l’Évangile de Luc est l’innocence de Jésus, qui est présenté comme le juste serviteur souffrant du Seigneur (voir </w:t>
      </w:r>
      <w:hyperlink r:id="rId25">
        <w:r>
          <w:rPr>
            <w:lang w:val="fr_FR" w:bidi="fr_FR"/>
          </w:rPr>
          <w:rPr>
            <w:color w:val="0000EE"/>
            <w:u w:val="single"/>
          </w:rPr>
          <w:t>Esaïe 52:13–53:12</w:t>
        </w:r>
      </w:hyperlink>
      <w:r>
        <w:rPr>
          <w:lang w:val="fr_FR" w:bidi="fr_FR"/>
        </w:rPr>
        <w:t>). À la mort de Jésus, l’officier romain aux pieds de la croix s’écrie : « Certainement, cet homme était juste. » (</w:t>
      </w:r>
      <w:hyperlink r:id="rId26">
        <w:r>
          <w:rPr>
            <w:lang w:val="fr_FR" w:bidi="fr_FR"/>
          </w:rPr>
          <w:rPr>
            <w:color w:val="0000EE"/>
            <w:u w:val="single"/>
          </w:rPr>
          <w:t>Luc 23:47</w:t>
        </w:r>
      </w:hyperlink>
      <w:r>
        <w:rPr>
          <w:lang w:val="fr_FR" w:bidi="fr_FR"/>
        </w:rPr>
        <w:t>).</w:t>
      </w:r>
    </w:p>
    <w:p>
      <w:pPr/>
      <w:r>
        <w:rPr>
          <w:lang w:val="fr_FR" w:bidi="fr_FR"/>
        </w:rPr>
      </w:r>
      <w:r>
        <w:rPr>
          <w:lang w:val="fr_FR" w:bidi="fr_FR"/>
        </w:rPr>
        <w:t>Le récit conclut sur la résurrection de Jésus (</w:t>
      </w:r>
      <w:hyperlink r:id="rId27">
        <w:r>
          <w:rPr>
            <w:lang w:val="fr_FR" w:bidi="fr_FR"/>
          </w:rPr>
          <w:rPr>
            <w:color w:val="0000EE"/>
            <w:u w:val="single"/>
          </w:rPr>
          <w:t>24:1–12</w:t>
        </w:r>
      </w:hyperlink>
      <w:r>
        <w:rPr>
          <w:lang w:val="fr_FR" w:bidi="fr_FR"/>
        </w:rPr>
        <w:t>). Ici, la contribution la plus distinctive de Luc est le récit du voyage des disciples à Emmaüs (</w:t>
      </w:r>
      <w:hyperlink r:id="rId28">
        <w:r>
          <w:rPr>
            <w:lang w:val="fr_FR" w:bidi="fr_FR"/>
          </w:rPr>
          <w:rPr>
            <w:color w:val="0000EE"/>
            <w:u w:val="single"/>
          </w:rPr>
          <w:t>24:13–35</w:t>
        </w:r>
      </w:hyperlink>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hyperlink r:id="rId29">
        <w:r>
          <w:rPr>
            <w:lang w:val="fr_FR" w:bidi="fr_FR"/>
          </w:rPr>
          <w:rPr>
            <w:color w:val="0000EE"/>
            <w:u w:val="single"/>
          </w:rPr>
          <w:t>24:25–27</w:t>
        </w:r>
      </w:hyperlink>
      <w:r>
        <w:rPr>
          <w:lang w:val="fr_FR" w:bidi="fr_FR"/>
        </w:rPr>
        <w:t>). Le livre conclut sur un bref récit de l’Ascension (</w:t>
      </w:r>
      <w:hyperlink r:id="rId30">
        <w:r>
          <w:rPr>
            <w:lang w:val="fr_FR" w:bidi="fr_FR"/>
          </w:rPr>
          <w:rPr>
            <w:color w:val="0000EE"/>
            <w:u w:val="single"/>
          </w:rPr>
          <w:t>24:50–53</w:t>
        </w:r>
      </w:hyperlink>
      <w:r>
        <w:rPr>
          <w:lang w:val="fr_FR" w:bidi="fr_FR"/>
        </w:rPr>
        <w:t>), décrite plus en détail dans le livre des Actes (</w:t>
      </w:r>
      <w:hyperlink r:id="rId31">
        <w:r>
          <w:rPr>
            <w:lang w:val="fr_FR" w:bidi="fr_FR"/>
          </w:rPr>
          <w:rPr>
            <w:color w:val="0000EE"/>
            <w:u w:val="single"/>
          </w:rPr>
          <w:t>Actes 1:1–11</w:t>
        </w:r>
      </w:hyperlink>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2">
        <w:r>
          <w:rPr>
            <w:lang w:val="fr_FR" w:bidi="fr_FR"/>
          </w:rPr>
          <w:rPr>
            <w:color w:val="0000EE"/>
            <w:u w:val="single"/>
          </w:rPr>
          <w:t>Luc 1:1–2:52</w:t>
        </w:r>
      </w:hyperlink>
      <w:r>
        <w:rPr>
          <w:lang w:val="fr_FR" w:bidi="fr_FR"/>
        </w:rPr>
        <w:t>) ; 2) Luc omet une section importante du récit de Marc du ministère de Jésus en Galilée, parfois appelée sa « grande omission » (</w:t>
      </w:r>
      <w:hyperlink r:id="rId33">
        <w:r>
          <w:rPr>
            <w:lang w:val="fr_FR" w:bidi="fr_FR"/>
          </w:rPr>
          <w:rPr>
            <w:color w:val="0000EE"/>
            <w:u w:val="single"/>
          </w:rPr>
          <w:t>Marc 6:45–8:26</w:t>
        </w:r>
      </w:hyperlink>
      <w:r>
        <w:rPr>
          <w:lang w:val="fr_FR" w:bidi="fr_FR"/>
        </w:rPr>
        <w:t>) ; et (3) Luc développe le récit de Marc du voyage de Jésus à Jérusalem, d’un seul chapitre (</w:t>
      </w:r>
      <w:hyperlink r:id="rId34">
        <w:r>
          <w:rPr>
            <w:lang w:val="fr_FR" w:bidi="fr_FR"/>
          </w:rPr>
          <w:rPr>
            <w:color w:val="0000EE"/>
            <w:u w:val="single"/>
          </w:rPr>
          <w:t>Marc 10:1–52</w:t>
        </w:r>
      </w:hyperlink>
      <w:r>
        <w:rPr>
          <w:lang w:val="fr_FR" w:bidi="fr_FR"/>
        </w:rPr>
        <w:t>) à dix chapitres (</w:t>
      </w:r>
      <w:hyperlink r:id="rId22">
        <w:r>
          <w:rPr>
            <w:lang w:val="fr_FR" w:bidi="fr_FR"/>
          </w:rPr>
          <w:rPr>
            <w:color w:val="0000EE"/>
            <w:u w:val="single"/>
          </w:rPr>
          <w:t>Luc 9:51–19:44</w:t>
        </w:r>
      </w:hyperlink>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5">
        <w:r>
          <w:rPr>
            <w:lang w:val="fr_FR" w:bidi="fr_FR"/>
          </w:rPr>
          <w:rPr>
            <w:color w:val="0000EE"/>
            <w:u w:val="single"/>
          </w:rPr>
          <w:t>Actes 16:10–17</w:t>
        </w:r>
      </w:hyperlink>
      <w:r>
        <w:rPr>
          <w:lang w:val="fr_FR" w:bidi="fr_FR"/>
        </w:rPr>
        <w:t xml:space="preserve">; </w:t>
      </w:r>
      <w:hyperlink r:id="rId36">
        <w:r>
          <w:rPr>
            <w:lang w:val="fr_FR" w:bidi="fr_FR"/>
          </w:rPr>
          <w:rPr>
            <w:color w:val="0000EE"/>
            <w:u w:val="single"/>
          </w:rPr>
          <w:t>20:5–17</w:t>
        </w:r>
      </w:hyperlink>
      <w:r>
        <w:rPr>
          <w:lang w:val="fr_FR" w:bidi="fr_FR"/>
        </w:rPr>
        <w:t xml:space="preserve">; </w:t>
      </w:r>
      <w:hyperlink r:id="rId37">
        <w:r>
          <w:rPr>
            <w:lang w:val="fr_FR" w:bidi="fr_FR"/>
          </w:rPr>
          <w:rPr>
            <w:color w:val="0000EE"/>
            <w:u w:val="single"/>
          </w:rPr>
          <w:t>21:1–18</w:t>
        </w:r>
      </w:hyperlink>
      <w:r>
        <w:rPr>
          <w:lang w:val="fr_FR" w:bidi="fr_FR"/>
        </w:rPr>
        <w:t xml:space="preserve">; </w:t>
      </w:r>
      <w:hyperlink r:id="rId38">
        <w:r>
          <w:rPr>
            <w:lang w:val="fr_FR" w:bidi="fr_FR"/>
          </w:rPr>
          <w:rPr>
            <w:color w:val="0000EE"/>
            <w:u w:val="single"/>
          </w:rPr>
          <w:t>27:1–28:16</w:t>
        </w:r>
      </w:hyperlink>
      <w:r>
        <w:rPr>
          <w:lang w:val="fr_FR" w:bidi="fr_FR"/>
        </w:rPr>
        <w:t>). Luc était un non-Juif (</w:t>
      </w:r>
      <w:hyperlink r:id="rId39">
        <w:r>
          <w:rPr>
            <w:lang w:val="fr_FR" w:bidi="fr_FR"/>
          </w:rPr>
          <w:rPr>
            <w:color w:val="0000EE"/>
            <w:u w:val="single"/>
          </w:rPr>
          <w:t>Col 4:11–14</w:t>
        </w:r>
      </w:hyperlink>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40">
        <w:r>
          <w:rPr>
            <w:lang w:val="fr_FR" w:bidi="fr_FR"/>
          </w:rPr>
          <w:rPr>
            <w:color w:val="0000EE"/>
            <w:u w:val="single"/>
          </w:rPr>
          <w:t>Luc 1:4</w:t>
        </w:r>
      </w:hyperlink>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41">
        <w:r>
          <w:rPr>
            <w:lang w:val="fr_FR" w:bidi="fr_FR"/>
          </w:rPr>
          <w:rPr>
            <w:color w:val="0000EE"/>
            <w:u w:val="single"/>
          </w:rPr>
          <w:t>Marc 13:14</w:t>
        </w:r>
      </w:hyperlink>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hyperlink r:id="rId42">
        <w:r>
          <w:rPr>
            <w:lang w:val="fr_FR" w:bidi="fr_FR"/>
          </w:rPr>
          <w:rPr>
            <w:color w:val="0000EE"/>
            <w:u w:val="single"/>
          </w:rPr>
          <w:t>Luc 24:26</w:t>
        </w:r>
      </w:hyperlink>
      <w:r>
        <w:rPr>
          <w:lang w:val="fr_FR" w:bidi="fr_FR"/>
        </w:rPr>
        <w:t xml:space="preserve">, </w:t>
      </w:r>
      <w:hyperlink r:id="rId43">
        <w:r>
          <w:rPr>
            <w:lang w:val="fr_FR" w:bidi="fr_FR"/>
          </w:rPr>
          <w:rPr>
            <w:color w:val="0000EE"/>
            <w:u w:val="single"/>
          </w:rPr>
          <w:t>46</w:t>
        </w:r>
      </w:hyperlink>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5">
        <w:r>
          <w:rPr>
            <w:lang w:val="fr_FR" w:bidi="fr_FR"/>
          </w:rPr>
          <w:rPr>
            <w:color w:val="0000EE"/>
            <w:u w:val="single"/>
          </w:rPr>
          <w:t>1:1–4</w:t>
        </w:r>
      </w:hyperlink>
      <w:r>
        <w:rPr>
          <w:lang w:val="fr_FR" w:bidi="fr_FR"/>
        </w:rPr>
        <w:t>) et détermine méticuleusement les dates du ministère de Jésus, en référence aux souverains de son époque (</w:t>
      </w:r>
      <w:hyperlink r:id="rId44">
        <w:r>
          <w:rPr>
            <w:lang w:val="fr_FR" w:bidi="fr_FR"/>
          </w:rPr>
          <w:rPr>
            <w:color w:val="0000EE"/>
            <w:u w:val="single"/>
          </w:rPr>
          <w:t>3:1–2</w:t>
        </w:r>
      </w:hyperlink>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5">
        <w:r>
          <w:rPr>
            <w:lang w:val="fr_FR" w:bidi="fr_FR"/>
          </w:rPr>
          <w:rPr>
            <w:color w:val="0000EE"/>
            <w:u w:val="single"/>
          </w:rPr>
          <w:t>1:32–33</w:t>
        </w:r>
      </w:hyperlink>
      <w:r>
        <w:rPr>
          <w:lang w:val="fr_FR" w:bidi="fr_FR"/>
        </w:rPr>
        <w:t xml:space="preserve">; </w:t>
      </w:r>
      <w:hyperlink r:id="rId46">
        <w:r>
          <w:rPr>
            <w:lang w:val="fr_FR" w:bidi="fr_FR"/>
          </w:rPr>
          <w:rPr>
            <w:color w:val="0000EE"/>
            <w:u w:val="single"/>
          </w:rPr>
          <w:t>2:4</w:t>
        </w:r>
      </w:hyperlink>
      <w:r>
        <w:rPr>
          <w:lang w:val="fr_FR" w:bidi="fr_FR"/>
        </w:rPr>
        <w:t xml:space="preserve">, </w:t>
      </w:r>
      <w:hyperlink r:id="rId47">
        <w:r>
          <w:rPr>
            <w:lang w:val="fr_FR" w:bidi="fr_FR"/>
          </w:rPr>
          <w:rPr>
            <w:color w:val="0000EE"/>
            <w:u w:val="single"/>
          </w:rPr>
          <w:t>11</w:t>
        </w:r>
      </w:hyperlink>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7">
        <w:r>
          <w:rPr>
            <w:lang w:val="fr_FR" w:bidi="fr_FR"/>
          </w:rPr>
          <w:rPr>
            <w:color w:val="0000EE"/>
            <w:u w:val="single"/>
          </w:rPr>
          <w:t>Luc 2:11</w:t>
        </w:r>
      </w:hyperlink>
      <w:r>
        <w:rPr>
          <w:lang w:val="fr_FR" w:bidi="fr_FR"/>
        </w:rPr>
        <w:t xml:space="preserve">; </w:t>
      </w:r>
      <w:hyperlink r:id="rId48">
        <w:r>
          <w:rPr>
            <w:lang w:val="fr_FR" w:bidi="fr_FR"/>
          </w:rPr>
          <w:rPr>
            <w:color w:val="0000EE"/>
            <w:u w:val="single"/>
          </w:rPr>
          <w:t>Actes 2:36</w:t>
        </w:r>
      </w:hyperlink>
      <w:r>
        <w:rPr>
          <w:lang w:val="fr_FR" w:bidi="fr_FR"/>
        </w:rPr>
        <w:t xml:space="preserve">; </w:t>
      </w:r>
      <w:hyperlink r:id="rId49">
        <w:r>
          <w:rPr>
            <w:lang w:val="fr_FR" w:bidi="fr_FR"/>
          </w:rPr>
          <w:rPr>
            <w:color w:val="0000EE"/>
            <w:u w:val="single"/>
          </w:rPr>
          <w:t>10:36</w:t>
        </w:r>
      </w:hyperlink>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hyperlink r:id="rId50">
        <w:r>
          <w:rPr>
            <w:lang w:val="fr_FR" w:bidi="fr_FR"/>
          </w:rPr>
          <w:rPr>
            <w:color w:val="0000EE"/>
            <w:u w:val="single"/>
          </w:rPr>
          <w:t>Luc 1:51–55</w:t>
        </w:r>
      </w:hyperlink>
      <w:r>
        <w:rPr>
          <w:lang w:val="fr_FR" w:bidi="fr_FR"/>
        </w:rPr>
        <w:t xml:space="preserve">; </w:t>
      </w:r>
      <w:hyperlink r:id="rId51">
        <w:r>
          <w:rPr>
            <w:lang w:val="fr_FR" w:bidi="fr_FR"/>
          </w:rPr>
          <w:rPr>
            <w:color w:val="0000EE"/>
            <w:u w:val="single"/>
          </w:rPr>
          <w:t>16:19–31</w:t>
        </w:r>
      </w:hyperlink>
      <w:r>
        <w:rPr>
          <w:lang w:val="fr_FR" w:bidi="fr_FR"/>
        </w:rPr>
        <w:t>). L’Évangile est une bonne nouvelle pour le pauvre et l’opprimé (</w:t>
      </w:r>
      <w:hyperlink r:id="rId52">
        <w:r>
          <w:rPr>
            <w:lang w:val="fr_FR" w:bidi="fr_FR"/>
          </w:rPr>
          <w:rPr>
            <w:color w:val="0000EE"/>
            <w:u w:val="single"/>
          </w:rPr>
          <w:t>4:18</w:t>
        </w:r>
      </w:hyperlink>
      <w:r>
        <w:rPr>
          <w:lang w:val="fr_FR" w:bidi="fr_FR"/>
        </w:rPr>
        <w:t>), car ce sont eux qui reconnaissent le plus leur besoin de Dieu (</w:t>
      </w:r>
      <w:hyperlink r:id="rId53">
        <w:r>
          <w:rPr>
            <w:lang w:val="fr_FR" w:bidi="fr_FR"/>
          </w:rPr>
          <w:rPr>
            <w:color w:val="0000EE"/>
            <w:u w:val="single"/>
          </w:rPr>
          <w:t>6:20–21</w:t>
        </w:r>
      </w:hyperlink>
      <w:r>
        <w:rPr>
          <w:lang w:val="fr_FR" w:bidi="fr_FR"/>
        </w:rPr>
        <w:t>). Il est impossible pour le riche d’entrer dans le Royaume, s’ils mettent leur confiance en leurs richesses plutôt qu’en Dieu (</w:t>
      </w:r>
      <w:hyperlink r:id="rId54">
        <w:r>
          <w:rPr>
            <w:lang w:val="fr_FR" w:bidi="fr_FR"/>
          </w:rPr>
          <w:rPr>
            <w:color w:val="0000EE"/>
            <w:u w:val="single"/>
          </w:rPr>
          <w:t>12:13–21</w:t>
        </w:r>
      </w:hyperlink>
      <w:r>
        <w:rPr>
          <w:lang w:val="fr_FR" w:bidi="fr_FR"/>
        </w:rPr>
        <w:t xml:space="preserve">; </w:t>
      </w:r>
      <w:hyperlink r:id="rId55">
        <w:r>
          <w:rPr>
            <w:lang w:val="fr_FR" w:bidi="fr_FR"/>
          </w:rPr>
          <w:rPr>
            <w:color w:val="0000EE"/>
            <w:u w:val="single"/>
          </w:rPr>
          <w:t>18:18–30</w:t>
        </w:r>
      </w:hyperlink>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6">
        <w:r>
          <w:rPr>
            <w:lang w:val="fr_FR" w:bidi="fr_FR"/>
          </w:rPr>
          <w:rPr>
            <w:color w:val="0000EE"/>
            <w:u w:val="single"/>
          </w:rPr>
          <w:t>5:27–32</w:t>
        </w:r>
      </w:hyperlink>
      <w:r>
        <w:rPr>
          <w:lang w:val="fr_FR" w:bidi="fr_FR"/>
        </w:rPr>
        <w:t>). Il félicite une femme de mauvaise vie, qui lui a oint les pieds, parce qu’elle a reconnu le pardon de Dieu et a beaucoup aimé en retour (</w:t>
      </w:r>
      <w:hyperlink r:id="rId57">
        <w:r>
          <w:rPr>
            <w:lang w:val="fr_FR" w:bidi="fr_FR"/>
          </w:rPr>
          <w:rPr>
            <w:color w:val="0000EE"/>
            <w:u w:val="single"/>
          </w:rPr>
          <w:t>7:36–50</w:t>
        </w:r>
      </w:hyperlink>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8">
        <w:r>
          <w:rPr>
            <w:lang w:val="fr_FR" w:bidi="fr_FR"/>
          </w:rPr>
          <w:rPr>
            <w:color w:val="0000EE"/>
            <w:u w:val="single"/>
          </w:rPr>
          <w:t>18:9–14</w:t>
        </w:r>
      </w:hyperlink>
      <w:r>
        <w:rPr>
          <w:lang w:val="fr_FR" w:bidi="fr_FR"/>
        </w:rPr>
        <w:t>). Même Zachée, le chef des collecteurs d’impôts, a été pardonné lorsqu’il s’est repenti et tourné vers Dieu (</w:t>
      </w:r>
      <w:hyperlink r:id="rId59">
        <w:r>
          <w:rPr>
            <w:lang w:val="fr_FR" w:bidi="fr_FR"/>
          </w:rPr>
          <w:rPr>
            <w:color w:val="0000EE"/>
            <w:u w:val="single"/>
          </w:rPr>
          <w:t>19:1–10</w:t>
        </w:r>
      </w:hyperlink>
      <w:r>
        <w:rPr>
          <w:lang w:val="fr_FR" w:bidi="fr_FR"/>
        </w:rPr>
        <w:t>). Jésus a pardonné et offert une place au paradis au criminel repentant à la croix (</w:t>
      </w:r>
      <w:hyperlink r:id="rId60">
        <w:r>
          <w:rPr>
            <w:lang w:val="fr_FR" w:bidi="fr_FR"/>
          </w:rPr>
          <w:rPr>
            <w:color w:val="0000EE"/>
            <w:u w:val="single"/>
          </w:rPr>
          <w:t>23:39–43</w:t>
        </w:r>
      </w:hyperlink>
      <w:r>
        <w:rPr>
          <w:lang w:val="fr_FR" w:bidi="fr_FR"/>
        </w:rPr>
        <w:t>). Ses paraboles expriment le même thème ; par exemple, le père a pardonné à son fils prodigue lorsqu’il est revenu à lui (</w:t>
      </w:r>
      <w:hyperlink r:id="rId61">
        <w:r>
          <w:rPr>
            <w:lang w:val="fr_FR" w:bidi="fr_FR"/>
          </w:rPr>
          <w:rPr>
            <w:color w:val="0000EE"/>
            <w:u w:val="single"/>
          </w:rPr>
          <w:t>15:11–32</w:t>
        </w:r>
      </w:hyperlink>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hyperlink r:id="rId62">
        <w:r>
          <w:rPr>
            <w:lang w:val="fr_FR" w:bidi="fr_FR"/>
          </w:rPr>
          <w:rPr>
            <w:color w:val="0000EE"/>
            <w:u w:val="single"/>
          </w:rPr>
          <w:t>17:11–19</w:t>
        </w:r>
      </w:hyperlink>
      <w:r>
        <w:rPr>
          <w:lang w:val="fr_FR" w:bidi="fr_FR"/>
        </w:rPr>
        <w:t>). Par ailleurs, Jésus raconte la parabole du Bon Samaritain, dans laquelle un Samaritain méprisé est le seul à réellement se montrer le prochain d’un Juif blessé (</w:t>
      </w:r>
      <w:hyperlink r:id="rId63">
        <w:r>
          <w:rPr>
            <w:lang w:val="fr_FR" w:bidi="fr_FR"/>
          </w:rPr>
          <w:rPr>
            <w:color w:val="0000EE"/>
            <w:u w:val="single"/>
          </w:rPr>
          <w:t>10:29–37</w:t>
        </w:r>
      </w:hyperlink>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4">
        <w:r>
          <w:rPr>
            <w:lang w:val="fr_FR" w:bidi="fr_FR"/>
          </w:rPr>
          <w:rPr>
            <w:color w:val="0000EE"/>
            <w:u w:val="single"/>
          </w:rPr>
          <w:t>8:1–3</w:t>
        </w:r>
      </w:hyperlink>
      <w:r>
        <w:rPr>
          <w:lang w:val="fr_FR" w:bidi="fr_FR"/>
        </w:rPr>
        <w:t>). Dans l’histoire de Marthe et Marie, Jésus félicite Marie pour s’être assise à ses pieds, comme une disciple, pour apprendre de lui (</w:t>
      </w:r>
      <w:hyperlink r:id="rId65">
        <w:r>
          <w:rPr>
            <w:lang w:val="fr_FR" w:bidi="fr_FR"/>
          </w:rPr>
          <w:rPr>
            <w:color w:val="0000EE"/>
            <w:u w:val="single"/>
          </w:rPr>
          <w:t>10:38–42</w:t>
        </w:r>
      </w:hyperlink>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hyperlink r:id="rId66">
        <w:r>
          <w:rPr>
            <w:lang w:val="fr_FR" w:bidi="fr_FR"/>
          </w:rPr>
          <w:rPr>
            <w:color w:val="0000EE"/>
            <w:u w:val="single"/>
          </w:rPr>
          <w:t>2:32</w:t>
        </w:r>
      </w:hyperlink>
      <w:r>
        <w:rPr>
          <w:lang w:val="fr_FR" w:bidi="fr_FR"/>
        </w:rPr>
        <w:t>) et « toute chair verra le salut de Dieu » (</w:t>
      </w:r>
      <w:hyperlink r:id="rId67">
        <w:r>
          <w:rPr>
            <w:lang w:val="fr_FR" w:bidi="fr_FR"/>
          </w:rPr>
          <w:rPr>
            <w:color w:val="0000EE"/>
            <w:u w:val="single"/>
          </w:rPr>
          <w:t>3:4–6</w:t>
        </w:r>
      </w:hyperlink>
      <w:r>
        <w:rPr>
          <w:lang w:val="fr_FR" w:bidi="fr_FR"/>
        </w:rPr>
        <w:t xml:space="preserve">; </w:t>
      </w:r>
      <w:hyperlink r:id="rId68">
        <w:r>
          <w:rPr>
            <w:lang w:val="fr_FR" w:bidi="fr_FR"/>
          </w:rPr>
          <w:rPr>
            <w:color w:val="0000EE"/>
            <w:u w:val="single"/>
          </w:rPr>
          <w:t>Ésaïe 40:5</w:t>
        </w:r>
      </w:hyperlink>
      <w:r>
        <w:rPr>
          <w:lang w:val="fr_FR" w:bidi="fr_FR"/>
        </w:rPr>
        <w:t>). Tandis que la généalogie de Matthieu (</w:t>
      </w:r>
      <w:hyperlink r:id="rId69">
        <w:r>
          <w:rPr>
            <w:lang w:val="fr_FR" w:bidi="fr_FR"/>
          </w:rPr>
          <w:rPr>
            <w:color w:val="0000EE"/>
            <w:u w:val="single"/>
          </w:rPr>
          <w:t>Matthieu 1:1–17</w:t>
        </w:r>
      </w:hyperlink>
      <w:r>
        <w:rPr>
          <w:lang w:val="fr_FR" w:bidi="fr_FR"/>
        </w:rPr>
        <w:t>) met l’accent sur les origines juives de Jésus, en commençant par Abraham, le père des Israélites, celle de Luc remonte à Adam, le père de toute l’humanité (</w:t>
      </w:r>
      <w:hyperlink r:id="rId70">
        <w:r>
          <w:rPr>
            <w:lang w:val="fr_FR" w:bidi="fr_FR"/>
          </w:rPr>
          <w:rPr>
            <w:color w:val="0000EE"/>
            <w:u w:val="single"/>
          </w:rPr>
          <w:t>Luc 3:23–38</w:t>
        </w:r>
      </w:hyperlink>
      <w:r>
        <w:rPr>
          <w:lang w:val="fr_FR" w:bidi="fr_FR"/>
        </w:rPr>
        <w:t>). Dans son sermon à Nazareth, Jésus affirme que Dieu a toujours manifesté sa grâce aux non-Juifs (</w:t>
      </w:r>
      <w:hyperlink r:id="rId71">
        <w:r>
          <w:rPr>
            <w:lang w:val="fr_FR" w:bidi="fr_FR"/>
          </w:rPr>
          <w:rPr>
            <w:color w:val="0000EE"/>
            <w:u w:val="single"/>
          </w:rPr>
          <w:t>4:24–27</w:t>
        </w:r>
      </w:hyperlink>
      <w:r>
        <w:rPr>
          <w:lang w:val="fr_FR" w:bidi="fr_FR"/>
        </w:rPr>
        <w:t>). Le message de Luc est que Dieu aime tous les hommes, partout, et qu’il désire que tous ceux qui sont perdus soient sauvés (</w:t>
      </w:r>
      <w:hyperlink r:id="rId72">
        <w:r>
          <w:rPr>
            <w:lang w:val="fr_FR" w:bidi="fr_FR"/>
          </w:rPr>
          <w:rPr>
            <w:color w:val="0000EE"/>
            <w:u w:val="single"/>
          </w:rPr>
          <w:t>15:1–32</w:t>
        </w:r>
      </w:hyperlink>
      <w:r>
        <w:rPr>
          <w:lang w:val="fr_FR" w:bidi="fr_FR"/>
        </w:rPr>
        <w:t xml:space="preserve">; </w:t>
      </w:r>
      <w:hyperlink r:id="rId23">
        <w:r>
          <w:rPr>
            <w:lang w:val="fr_FR" w:bidi="fr_FR"/>
          </w:rPr>
          <w:rPr>
            <w:color w:val="0000EE"/>
            <w:u w:val="single"/>
          </w:rPr>
          <w:t>19:10</w:t>
        </w:r>
      </w:hyperlink>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3">
        <w:r>
          <w:rPr>
            <w:lang w:val="fr_FR" w:bidi="fr_FR"/>
          </w:rPr>
          <w:rPr>
            <w:color w:val="0000EE"/>
            <w:u w:val="single"/>
          </w:rPr>
          <w:t>4:28–30</w:t>
        </w:r>
      </w:hyperlink>
      <w:r>
        <w:rPr>
          <w:lang w:val="fr_FR" w:bidi="fr_FR"/>
        </w:rPr>
        <w:t>). Cet épisode initie le rejet de Jésus par son propre peuple et anticipe l’opposition juive à l'Église (rapportée dans les Actes). Jérusalem, ayant rejeté son Messie, était sous le coup du jugement de Dieu (</w:t>
      </w:r>
      <w:hyperlink r:id="rId74">
        <w:r>
          <w:rPr>
            <w:lang w:val="fr_FR" w:bidi="fr_FR"/>
          </w:rPr>
          <w:rPr>
            <w:color w:val="0000EE"/>
            <w:u w:val="single"/>
          </w:rPr>
          <w:t>Luc 13:33–35</w:t>
        </w:r>
      </w:hyperlink>
      <w:r>
        <w:rPr>
          <w:lang w:val="fr_FR" w:bidi="fr_FR"/>
        </w:rPr>
        <w:t xml:space="preserve">; </w:t>
      </w:r>
      <w:hyperlink r:id="rId75">
        <w:r>
          <w:rPr>
            <w:lang w:val="fr_FR" w:bidi="fr_FR"/>
          </w:rPr>
          <w:rPr>
            <w:color w:val="0000EE"/>
            <w:u w:val="single"/>
          </w:rPr>
          <w:t>19:41–44</w:t>
        </w:r>
      </w:hyperlink>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6">
        <w:r>
          <w:rPr>
            <w:lang w:val="fr_FR" w:bidi="fr_FR"/>
          </w:rPr>
          <w:rPr>
            <w:color w:val="0000EE"/>
            <w:u w:val="single"/>
          </w:rPr>
          <w:t>11:29–32</w:t>
        </w:r>
      </w:hyperlink>
      <w:r>
        <w:rPr>
          <w:lang w:val="fr_FR" w:bidi="fr_FR"/>
        </w:rPr>
        <w:t xml:space="preserve">, </w:t>
      </w:r>
      <w:hyperlink r:id="rId77">
        <w:r>
          <w:rPr>
            <w:lang w:val="fr_FR" w:bidi="fr_FR"/>
          </w:rPr>
          <w:rPr>
            <w:color w:val="0000EE"/>
            <w:u w:val="single"/>
          </w:rPr>
          <w:t>47–51</w:t>
        </w:r>
      </w:hyperlink>
      <w:r>
        <w:rPr>
          <w:lang w:val="fr_FR" w:bidi="fr_FR"/>
        </w:rPr>
        <w:t xml:space="preserve">; </w:t>
      </w:r>
      <w:hyperlink r:id="rId78">
        <w:r>
          <w:rPr>
            <w:lang w:val="fr_FR" w:bidi="fr_FR"/>
          </w:rPr>
          <w:rPr>
            <w:color w:val="0000EE"/>
            <w:u w:val="single"/>
          </w:rPr>
          <w:t>13:34–35</w:t>
        </w:r>
      </w:hyperlink>
      <w:r>
        <w:rPr>
          <w:lang w:val="fr_FR" w:bidi="fr_FR"/>
        </w:rPr>
        <w:t xml:space="preserve">; </w:t>
      </w:r>
      <w:hyperlink r:id="rId75">
        <w:r>
          <w:rPr>
            <w:lang w:val="fr_FR" w:bidi="fr_FR"/>
          </w:rPr>
          <w:rPr>
            <w:color w:val="0000EE"/>
            <w:u w:val="single"/>
          </w:rPr>
          <w:t>19:41–44</w:t>
        </w:r>
      </w:hyperlink>
      <w:r>
        <w:rPr>
          <w:lang w:val="fr_FR" w:bidi="fr_FR"/>
        </w:rPr>
        <w:t xml:space="preserve">; </w:t>
      </w:r>
      <w:hyperlink r:id="rId79">
        <w:r>
          <w:rPr>
            <w:lang w:val="fr_FR" w:bidi="fr_FR"/>
          </w:rPr>
          <w:rPr>
            <w:color w:val="0000EE"/>
            <w:u w:val="single"/>
          </w:rPr>
          <w:t>23:27–31</w:t>
        </w:r>
      </w:hyperlink>
      <w:r>
        <w:rPr>
          <w:lang w:val="fr_FR" w:bidi="fr_FR"/>
        </w:rPr>
        <w:t xml:space="preserve">; </w:t>
      </w:r>
      <w:hyperlink r:id="rId80">
        <w:r>
          <w:rPr>
            <w:lang w:val="fr_FR" w:bidi="fr_FR"/>
          </w:rPr>
          <w:rPr>
            <w:color w:val="0000EE"/>
            <w:u w:val="single"/>
          </w:rPr>
          <w:t>Actes 13:46</w:t>
        </w:r>
      </w:hyperlink>
      <w:r>
        <w:rPr>
          <w:lang w:val="fr_FR" w:bidi="fr_FR"/>
        </w:rPr>
        <w:t xml:space="preserve">; </w:t>
      </w:r>
      <w:hyperlink r:id="rId81">
        <w:r>
          <w:rPr>
            <w:lang w:val="fr_FR" w:bidi="fr_FR"/>
          </w:rPr>
          <w:rPr>
            <w:color w:val="0000EE"/>
            <w:u w:val="single"/>
          </w:rPr>
          <w:t>28:25–28</w:t>
        </w:r>
      </w:hyperlink>
      <w:r>
        <w:rPr>
          <w:lang w:val="fr_FR" w:bidi="fr_FR"/>
        </w:rPr>
        <w:t xml:space="preserve">; voir aussi </w:t>
      </w:r>
      <w:hyperlink r:id="rId82">
        <w:r>
          <w:rPr>
            <w:lang w:val="fr_FR" w:bidi="fr_FR"/>
          </w:rPr>
          <w:rPr>
            <w:color w:val="0000EE"/>
            <w:u w:val="single"/>
          </w:rPr>
          <w:t>Romains 9–11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