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hyperlink r:id="rId15">
        <w:r>
          <w:rPr>
            <w:lang w:val="fr_FR" w:bidi="fr_FR"/>
          </w:rPr>
          <w:rPr>
            <w:color w:val="0000EE"/>
            <w:u w:val="single"/>
          </w:rPr>
          <w:t>Ac 18.1–20</w:t>
        </w:r>
      </w:hyperlink>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6">
        <w:r>
          <w:rPr>
            <w:lang w:val="fr_FR" w:bidi="fr_FR"/>
          </w:rPr>
          <w:rPr>
            <w:color w:val="0000EE"/>
            <w:u w:val="single"/>
          </w:rPr>
          <w:t>2Co 4.7</w:t>
        </w:r>
      </w:hyperlink>
      <w:r>
        <w:rPr>
          <w:lang w:val="fr_FR" w:bidi="fr_FR"/>
        </w:rPr>
        <w:t xml:space="preserve">). L'agriculture est également essentielle à la prospérité de Corinthe (voir </w:t>
      </w:r>
      <w:hyperlink r:id="rId17">
        <w:r>
          <w:rPr>
            <w:lang w:val="fr_FR" w:bidi="fr_FR"/>
          </w:rPr>
          <w:rPr>
            <w:color w:val="0000EE"/>
            <w:u w:val="single"/>
          </w:rPr>
          <w:t>9.6–10</w:t>
        </w:r>
      </w:hyperlink>
      <w:r>
        <w:rPr>
          <w:lang w:val="fr_FR" w:bidi="fr_FR"/>
        </w:rPr>
        <w:t xml:space="preserve"> ; </w:t>
      </w:r>
      <w:hyperlink r:id="rId18">
        <w:r>
          <w:rPr>
            <w:lang w:val="fr_FR" w:bidi="fr_FR"/>
          </w:rPr>
          <w:rPr>
            <w:color w:val="0000EE"/>
            <w:u w:val="single"/>
          </w:rPr>
          <w:t>1Co 3.6–9</w:t>
        </w:r>
      </w:hyperlink>
      <w:r>
        <w:rPr>
          <w:lang w:val="fr_FR" w:bidi="fr_FR"/>
        </w:rPr>
        <w:t xml:space="preserve"> ; </w:t>
      </w:r>
      <w:hyperlink r:id="rId19">
        <w:r>
          <w:rPr>
            <w:lang w:val="fr_FR" w:bidi="fr_FR"/>
          </w:rPr>
          <w:rPr>
            <w:color w:val="0000EE"/>
            <w:u w:val="single"/>
          </w:rPr>
          <w:t>9.7</w:t>
        </w:r>
      </w:hyperlink>
      <w:r>
        <w:rPr>
          <w:lang w:val="fr_FR" w:bidi="fr_FR"/>
        </w:rPr>
        <w:t xml:space="preserve">, </w:t>
      </w:r>
      <w:hyperlink r:id="rId20">
        <w:r>
          <w:rPr>
            <w:lang w:val="fr_FR" w:bidi="fr_FR"/>
          </w:rPr>
          <w:rPr>
            <w:color w:val="0000EE"/>
            <w:u w:val="single"/>
          </w:rPr>
          <w:t>10</w:t>
        </w:r>
      </w:hyperlink>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21">
        <w:r>
          <w:rPr>
            <w:lang w:val="fr_FR" w:bidi="fr_FR"/>
          </w:rPr>
          <w:rPr>
            <w:color w:val="0000EE"/>
            <w:u w:val="single"/>
          </w:rPr>
          <w:t>Rm 1.18–32</w:t>
        </w:r>
      </w:hyperlink>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hyperlink r:id="rId22">
        <w:r>
          <w:rPr>
            <w:lang w:val="fr_FR" w:bidi="fr_FR"/>
          </w:rPr>
          <w:rPr>
            <w:color w:val="0000EE"/>
            <w:u w:val="single"/>
          </w:rPr>
          <w:t>Ac 20.2–3</w:t>
        </w:r>
      </w:hyperlink>
      <w:r>
        <w:rPr>
          <w:lang w:val="fr_FR" w:bidi="fr_FR"/>
        </w:rPr>
        <w:t xml:space="preserve">), et 2 Corinthiens reflète indéniablement qu'il est conscient qu'il y existe de graves problèmes moraux (voir </w:t>
      </w:r>
      <w:hyperlink r:id="rId23">
        <w:r>
          <w:rPr>
            <w:lang w:val="fr_FR" w:bidi="fr_FR"/>
          </w:rPr>
          <w:rPr>
            <w:color w:val="0000EE"/>
            <w:u w:val="single"/>
          </w:rPr>
          <w:t>2Co 6.14–17</w:t>
        </w:r>
      </w:hyperlink>
      <w:r>
        <w:rPr>
          <w:lang w:val="fr_FR" w:bidi="fr_FR"/>
        </w:rPr>
        <w:t xml:space="preserve"> ; </w:t>
      </w:r>
      <w:hyperlink r:id="rId24">
        <w:r>
          <w:rPr>
            <w:lang w:val="fr_FR" w:bidi="fr_FR"/>
          </w:rPr>
          <w:rPr>
            <w:color w:val="0000EE"/>
            <w:u w:val="single"/>
          </w:rPr>
          <w:t>12.19–21</w:t>
        </w:r>
      </w:hyperlink>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5">
        <w:r>
          <w:rPr>
            <w:lang w:val="fr_FR" w:bidi="fr_FR"/>
          </w:rPr>
          <w:rPr>
            <w:color w:val="0000EE"/>
            <w:u w:val="single"/>
          </w:rPr>
          <w:t>6.13</w:t>
        </w:r>
      </w:hyperlink>
      <w:r>
        <w:rPr>
          <w:lang w:val="fr_FR" w:bidi="fr_FR"/>
        </w:rPr>
        <w:t xml:space="preserve"> ; </w:t>
      </w:r>
      <w:hyperlink r:id="rId26">
        <w:r>
          <w:rPr>
            <w:lang w:val="fr_FR" w:bidi="fr_FR"/>
          </w:rPr>
          <w:rPr>
            <w:color w:val="0000EE"/>
            <w:u w:val="single"/>
          </w:rPr>
          <w:t>12.14</w:t>
        </w:r>
      </w:hyperlink>
      <w:r>
        <w:rPr>
          <w:lang w:val="fr_FR" w:bidi="fr_FR"/>
        </w:rPr>
        <w:t xml:space="preserve"> ; </w:t>
      </w:r>
      <w:hyperlink r:id="rId27">
        <w:r>
          <w:rPr>
            <w:lang w:val="fr_FR" w:bidi="fr_FR"/>
          </w:rPr>
          <w:rPr>
            <w:color w:val="0000EE"/>
            <w:u w:val="single"/>
          </w:rPr>
          <w:t>1Co 4.15</w:t>
        </w:r>
      </w:hyperlink>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8">
        <w:r>
          <w:rPr>
            <w:lang w:val="fr_FR" w:bidi="fr_FR"/>
          </w:rPr>
          <w:rPr>
            <w:color w:val="0000EE"/>
            <w:u w:val="single"/>
          </w:rPr>
          <w:t>2Co 11.23–28</w:t>
        </w:r>
      </w:hyperlink>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hyperlink r:id="rId29">
        <w:r>
          <w:rPr>
            <w:lang w:val="fr_FR" w:bidi="fr_FR"/>
          </w:rPr>
          <w:rPr>
            <w:color w:val="0000EE"/>
            <w:u w:val="single"/>
          </w:rPr>
          <w:t>chap. 1–6</w:t>
        </w:r>
      </w:hyperlink>
      <w:r>
        <w:rPr>
          <w:lang w:val="fr_FR" w:bidi="fr_FR"/>
        </w:rPr>
        <w:t>), Paul expose sa compréhension du service chrétien. Souffrir par amour pour le Christ fait nécessairement partie du service chrétien (</w:t>
      </w:r>
      <w:hyperlink r:id="rId30">
        <w:r>
          <w:rPr>
            <w:lang w:val="fr_FR" w:bidi="fr_FR"/>
          </w:rPr>
          <w:rPr>
            <w:color w:val="0000EE"/>
            <w:u w:val="single"/>
          </w:rPr>
          <w:t>1.1–24</w:t>
        </w:r>
      </w:hyperlink>
      <w:r>
        <w:rPr>
          <w:lang w:val="fr_FR" w:bidi="fr_FR"/>
        </w:rPr>
        <w:t>), bien qu'il soit difficile de supporter une offense lorsqu'elle est causée par un frère ou une sœur (</w:t>
      </w:r>
      <w:hyperlink r:id="rId31">
        <w:r>
          <w:rPr>
            <w:lang w:val="fr_FR" w:bidi="fr_FR"/>
          </w:rPr>
          <w:rPr>
            <w:color w:val="0000EE"/>
            <w:u w:val="single"/>
          </w:rPr>
          <w:t>2.1–17</w:t>
        </w:r>
      </w:hyperlink>
      <w:r>
        <w:rPr>
          <w:lang w:val="fr_FR" w:bidi="fr_FR"/>
        </w:rPr>
        <w:t>). Le message de la bonne nouvelle apporte la vie par l'Esprit et le salut de Dieu, et remplace la religion de l'ancienne alliance, bien qu'il existe une continuité entre les deux (</w:t>
      </w:r>
      <w:hyperlink r:id="rId32">
        <w:r>
          <w:rPr>
            <w:lang w:val="fr_FR" w:bidi="fr_FR"/>
          </w:rPr>
          <w:rPr>
            <w:color w:val="0000EE"/>
            <w:u w:val="single"/>
          </w:rPr>
          <w:t>3.1–18</w:t>
        </w:r>
      </w:hyperlink>
      <w:r>
        <w:rPr>
          <w:lang w:val="fr_FR" w:bidi="fr_FR"/>
        </w:rPr>
        <w:t>). La puissance du message se manifeste à travers la faiblesse des serviteurs de Dieu (</w:t>
      </w:r>
      <w:hyperlink r:id="rId33">
        <w:r>
          <w:rPr>
            <w:lang w:val="fr_FR" w:bidi="fr_FR"/>
          </w:rPr>
          <w:rPr>
            <w:color w:val="0000EE"/>
            <w:u w:val="single"/>
          </w:rPr>
          <w:t>4.1–18</w:t>
        </w:r>
      </w:hyperlink>
      <w:r>
        <w:rPr>
          <w:lang w:val="fr_FR" w:bidi="fr_FR"/>
        </w:rPr>
        <w:t>) et au cœur de ce message se trouve la mort du Fils de Dieu, par laquelle nous sommes réconciliés avec lui (</w:t>
      </w:r>
      <w:hyperlink r:id="rId34">
        <w:r>
          <w:rPr>
            <w:lang w:val="fr_FR" w:bidi="fr_FR"/>
          </w:rPr>
          <w:rPr>
            <w:color w:val="0000EE"/>
            <w:u w:val="single"/>
          </w:rPr>
          <w:t>5.1–21</w:t>
        </w:r>
      </w:hyperlink>
      <w:r>
        <w:rPr>
          <w:lang w:val="fr_FR" w:bidi="fr_FR"/>
        </w:rPr>
        <w:t>). La vie chrétienne est caractérisée par la dévotion et le dévouement qui distinguent les comportements des croyants de ceux du monde (</w:t>
      </w:r>
      <w:hyperlink r:id="rId35">
        <w:r>
          <w:rPr>
            <w:lang w:val="fr_FR" w:bidi="fr_FR"/>
          </w:rPr>
          <w:rPr>
            <w:color w:val="0000EE"/>
            <w:u w:val="single"/>
          </w:rPr>
          <w:t>6.1–18</w:t>
        </w:r>
      </w:hyperlink>
      <w:r>
        <w:rPr>
          <w:lang w:val="fr_FR" w:bidi="fr_FR"/>
        </w:rPr>
        <w:t>).</w:t>
      </w:r>
    </w:p>
    <w:p>
      <w:pPr/>
      <w:r>
        <w:rPr>
          <w:lang w:val="fr_FR" w:bidi="fr_FR"/>
        </w:rPr>
      </w:r>
      <w:r>
        <w:rPr>
          <w:lang w:val="fr_FR" w:bidi="fr_FR"/>
        </w:rPr>
        <w:t>Dans la deuxième moitié de la lettre (</w:t>
      </w:r>
      <w:hyperlink r:id="rId36">
        <w:r>
          <w:rPr>
            <w:lang w:val="fr_FR" w:bidi="fr_FR"/>
          </w:rPr>
          <w:rPr>
            <w:color w:val="0000EE"/>
            <w:u w:val="single"/>
          </w:rPr>
          <w:t>chap. 7–13</w:t>
        </w:r>
      </w:hyperlink>
      <w:r>
        <w:rPr>
          <w:lang w:val="fr_FR" w:bidi="fr_FR"/>
        </w:rPr>
        <w:t>), Paul explique comment il en est venu à écrire ses lettres à Corinthe (</w:t>
      </w:r>
      <w:hyperlink r:id="rId37">
        <w:r>
          <w:rPr>
            <w:lang w:val="fr_FR" w:bidi="fr_FR"/>
          </w:rPr>
          <w:rPr>
            <w:color w:val="0000EE"/>
            <w:u w:val="single"/>
          </w:rPr>
          <w:t>7.1–16</w:t>
        </w:r>
      </w:hyperlink>
      <w:r>
        <w:rPr>
          <w:lang w:val="fr_FR" w:bidi="fr_FR"/>
        </w:rPr>
        <w:t>), révèle des principes concernant les dons financiers et la gestion de ceux-ci en parlant de la collecte pour l'église de Jérusalem (</w:t>
      </w:r>
      <w:hyperlink r:id="rId38">
        <w:r>
          <w:rPr>
            <w:lang w:val="fr_FR" w:bidi="fr_FR"/>
          </w:rPr>
          <w:rPr>
            <w:color w:val="0000EE"/>
            <w:u w:val="single"/>
          </w:rPr>
          <w:t>8.1–9.15</w:t>
        </w:r>
      </w:hyperlink>
      <w:r>
        <w:rPr>
          <w:lang w:val="fr_FR" w:bidi="fr_FR"/>
        </w:rPr>
        <w:t>), et présente une défense vigoureuse de son travail apostolique face à ceux qui dénigrent son statut à cause de ses faiblesses (</w:t>
      </w:r>
      <w:hyperlink r:id="rId39">
        <w:r>
          <w:rPr>
            <w:lang w:val="fr_FR" w:bidi="fr_FR"/>
          </w:rPr>
          <w:rPr>
            <w:color w:val="0000EE"/>
            <w:u w:val="single"/>
          </w:rPr>
          <w:t>chap. 10–13</w:t>
        </w:r>
      </w:hyperlink>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hyperlink r:id="rId40">
        <w:r>
          <w:rPr>
            <w:lang w:val="fr_FR" w:bidi="fr_FR"/>
          </w:rPr>
          <w:rPr>
            <w:color w:val="0000EE"/>
            <w:u w:val="single"/>
          </w:rPr>
          <w:t>6.14–7.1</w:t>
        </w:r>
      </w:hyperlink>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hyperlink r:id="rId41">
        <w:r>
          <w:rPr>
            <w:lang w:val="fr_FR" w:bidi="fr_FR"/>
          </w:rPr>
          <w:rPr>
            <w:color w:val="0000EE"/>
            <w:u w:val="single"/>
          </w:rPr>
          <w:t>1Co 16.10–11</w:t>
        </w:r>
      </w:hyperlink>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hyperlink r:id="rId42">
        <w:r>
          <w:rPr>
            <w:lang w:val="fr_FR" w:bidi="fr_FR"/>
          </w:rPr>
          <w:rPr>
            <w:color w:val="0000EE"/>
            <w:u w:val="single"/>
          </w:rPr>
          <w:t>1Co 4.18–21</w:t>
        </w:r>
      </w:hyperlink>
      <w:r>
        <w:rPr>
          <w:lang w:val="fr_FR" w:bidi="fr_FR"/>
        </w:rPr>
        <w:t>, mais a pris une plus grande ampleur. Paul leur rend donc visite, depuis Ephèse (</w:t>
      </w:r>
      <w:hyperlink r:id="rId43">
        <w:r>
          <w:rPr>
            <w:lang w:val="fr_FR" w:bidi="fr_FR"/>
          </w:rPr>
          <w:rPr>
            <w:color w:val="0000EE"/>
            <w:u w:val="single"/>
          </w:rPr>
          <w:t>2Co 2.1</w:t>
        </w:r>
      </w:hyperlink>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4">
        <w:r>
          <w:rPr>
            <w:lang w:val="fr_FR" w:bidi="fr_FR"/>
          </w:rPr>
          <w:rPr>
            <w:color w:val="0000EE"/>
            <w:u w:val="single"/>
          </w:rPr>
          <w:t>2.3–13</w:t>
        </w:r>
      </w:hyperlink>
      <w:r>
        <w:rPr>
          <w:lang w:val="fr_FR" w:bidi="fr_FR"/>
        </w:rPr>
        <w:t>). Cette lettre, qui a été perdue, finit par conduire les Corinthiens à la repentance (</w:t>
      </w:r>
      <w:hyperlink r:id="rId45">
        <w:r>
          <w:rPr>
            <w:lang w:val="fr_FR" w:bidi="fr_FR"/>
          </w:rPr>
          <w:rPr>
            <w:color w:val="0000EE"/>
            <w:u w:val="single"/>
          </w:rPr>
          <w:t>7.8–10</w:t>
        </w:r>
      </w:hyperlink>
      <w:r>
        <w:rPr>
          <w:lang w:val="fr_FR" w:bidi="fr_FR"/>
        </w:rPr>
        <w:t>).</w:t>
      </w:r>
    </w:p>
    <w:p>
      <w:pPr/>
      <w:r>
        <w:rPr>
          <w:lang w:val="fr_FR" w:bidi="fr_FR"/>
        </w:rPr>
      </w:r>
      <w:r>
        <w:rPr>
          <w:lang w:val="fr_FR" w:bidi="fr_FR"/>
        </w:rPr>
        <w:t>Pendant ce temps, Paul quitte Éphèse après de sévères épreuves (</w:t>
      </w:r>
      <w:hyperlink r:id="rId46">
        <w:r>
          <w:rPr>
            <w:lang w:val="fr_FR" w:bidi="fr_FR"/>
          </w:rPr>
          <w:rPr>
            <w:color w:val="0000EE"/>
            <w:u w:val="single"/>
          </w:rPr>
          <w:t>Ac 19.23–41</w:t>
        </w:r>
      </w:hyperlink>
      <w:r>
        <w:rPr>
          <w:lang w:val="fr_FR" w:bidi="fr_FR"/>
        </w:rPr>
        <w:t xml:space="preserve"> ; cf. </w:t>
      </w:r>
      <w:hyperlink r:id="rId47">
        <w:r>
          <w:rPr>
            <w:lang w:val="fr_FR" w:bidi="fr_FR"/>
          </w:rPr>
          <w:rPr>
            <w:color w:val="0000EE"/>
            <w:u w:val="single"/>
          </w:rPr>
          <w:t>1.8–11</w:t>
        </w:r>
      </w:hyperlink>
      <w:r>
        <w:rPr>
          <w:lang w:val="fr_FR" w:bidi="fr_FR"/>
        </w:rPr>
        <w:t xml:space="preserve"> ; </w:t>
      </w:r>
      <w:hyperlink r:id="rId48">
        <w:r>
          <w:rPr>
            <w:lang w:val="fr_FR" w:bidi="fr_FR"/>
          </w:rPr>
          <w:rPr>
            <w:color w:val="0000EE"/>
            <w:u w:val="single"/>
          </w:rPr>
          <w:t>4.8–15</w:t>
        </w:r>
      </w:hyperlink>
      <w:r>
        <w:rPr>
          <w:lang w:val="fr_FR" w:bidi="fr_FR"/>
        </w:rPr>
        <w:t xml:space="preserve"> ; </w:t>
      </w:r>
      <w:hyperlink r:id="rId49">
        <w:r>
          <w:rPr>
            <w:lang w:val="fr_FR" w:bidi="fr_FR"/>
          </w:rPr>
          <w:rPr>
            <w:color w:val="0000EE"/>
            <w:u w:val="single"/>
          </w:rPr>
          <w:t>6.4–10</w:t>
        </w:r>
      </w:hyperlink>
      <w:r>
        <w:rPr>
          <w:lang w:val="fr_FR" w:bidi="fr_FR"/>
        </w:rPr>
        <w:t>) et se rend en Macédoine (</w:t>
      </w:r>
      <w:hyperlink r:id="rId50">
        <w:r>
          <w:rPr>
            <w:lang w:val="fr_FR" w:bidi="fr_FR"/>
          </w:rPr>
          <w:rPr>
            <w:color w:val="0000EE"/>
            <w:u w:val="single"/>
          </w:rPr>
          <w:t>Ac 20.1</w:t>
        </w:r>
      </w:hyperlink>
      <w:r>
        <w:rPr>
          <w:lang w:val="fr_FR" w:bidi="fr_FR"/>
        </w:rPr>
        <w:t>). Là, il retrouve Tite, qui est arrivé de Corinthe, et qui lui rapporte des nouvelles encourageantes de la situation là-bas (</w:t>
      </w:r>
      <w:hyperlink r:id="rId51">
        <w:r>
          <w:rPr>
            <w:lang w:val="fr_FR" w:bidi="fr_FR"/>
          </w:rPr>
          <w:rPr>
            <w:color w:val="0000EE"/>
            <w:u w:val="single"/>
          </w:rPr>
          <w:t>2Co 7.5–7</w:t>
        </w:r>
      </w:hyperlink>
      <w:r>
        <w:rPr>
          <w:lang w:val="fr_FR" w:bidi="fr_FR"/>
        </w:rPr>
        <w:t>). En réponse à ce rapport, Paul écrit 2 Corinthiens (vers 56 ap. J.‑C.) et confie la lettre à Tite qui la remet aux Corinthiens (</w:t>
      </w:r>
      <w:hyperlink r:id="rId52">
        <w:r>
          <w:rPr>
            <w:lang w:val="fr_FR" w:bidi="fr_FR"/>
          </w:rPr>
          <w:rPr>
            <w:color w:val="0000EE"/>
            <w:u w:val="single"/>
          </w:rPr>
          <w:t>8.6</w:t>
        </w:r>
      </w:hyperlink>
      <w:r>
        <w:rPr>
          <w:lang w:val="fr_FR" w:bidi="fr_FR"/>
        </w:rPr>
        <w:t xml:space="preserve">, </w:t>
      </w:r>
      <w:hyperlink r:id="rId53">
        <w:r>
          <w:rPr>
            <w:lang w:val="fr_FR" w:bidi="fr_FR"/>
          </w:rPr>
          <w:rPr>
            <w:color w:val="0000EE"/>
            <w:u w:val="single"/>
          </w:rPr>
          <w:t>16–19</w:t>
        </w:r>
      </w:hyperlink>
      <w:r>
        <w:rPr>
          <w:lang w:val="fr_FR" w:bidi="fr_FR"/>
        </w:rPr>
        <w:t xml:space="preserve">). Paul se rend ensuite lui-même à Corinthe, où il passe trois mois (voir </w:t>
      </w:r>
      <w:hyperlink r:id="rId54">
        <w:r>
          <w:rPr>
            <w:lang w:val="fr_FR" w:bidi="fr_FR"/>
          </w:rPr>
          <w:rPr>
            <w:color w:val="0000EE"/>
            <w:u w:val="single"/>
          </w:rPr>
          <w:t>Ac 20.1–3</w:t>
        </w:r>
      </w:hyperlink>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hyperlink r:id="rId40">
        <w:r>
          <w:rPr>
            <w:lang w:val="fr_FR" w:bidi="fr_FR"/>
          </w:rPr>
          <w:rPr>
            <w:color w:val="0000EE"/>
            <w:u w:val="single"/>
          </w:rPr>
          <w:t>2 Corinthiens 6.14–7.1</w:t>
        </w:r>
      </w:hyperlink>
      <w:r>
        <w:rPr>
          <w:lang w:val="fr_FR" w:bidi="fr_FR"/>
        </w:rPr>
        <w:t xml:space="preserve">. En </w:t>
      </w:r>
      <w:hyperlink r:id="rId55">
        <w:r>
          <w:rPr>
            <w:lang w:val="fr_FR" w:bidi="fr_FR"/>
          </w:rPr>
          <w:rPr>
            <w:color w:val="0000EE"/>
            <w:u w:val="single"/>
          </w:rPr>
          <w:t>1 Corinthiens 5.9</w:t>
        </w:r>
      </w:hyperlink>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40">
        <w:r>
          <w:rPr>
            <w:lang w:val="fr_FR" w:bidi="fr_FR"/>
          </w:rPr>
          <w:rPr>
            <w:color w:val="0000EE"/>
            <w:u w:val="single"/>
          </w:rPr>
          <w:t>2 Corinthiens 6.14–7.1</w:t>
        </w:r>
      </w:hyperlink>
      <w:r>
        <w:rPr>
          <w:lang w:val="fr_FR" w:bidi="fr_FR"/>
        </w:rPr>
        <w:t xml:space="preserve">, qui aborde le même sujet. Si c'est bien le cas, cela pourrait expliquer pourquoi cette section donne l'impression d'avoir été insérée dans la discussion, qui autrement s'écoulerait naturellement de </w:t>
      </w:r>
      <w:hyperlink r:id="rId25">
        <w:r>
          <w:rPr>
            <w:lang w:val="fr_FR" w:bidi="fr_FR"/>
          </w:rPr>
          <w:rPr>
            <w:color w:val="0000EE"/>
            <w:u w:val="single"/>
          </w:rPr>
          <w:t>6.13</w:t>
        </w:r>
      </w:hyperlink>
      <w:r>
        <w:rPr>
          <w:lang w:val="fr_FR" w:bidi="fr_FR"/>
        </w:rPr>
        <w:t xml:space="preserve"> directement à </w:t>
      </w:r>
      <w:hyperlink r:id="rId56">
        <w:r>
          <w:rPr>
            <w:lang w:val="fr_FR" w:bidi="fr_FR"/>
          </w:rPr>
          <w:rPr>
            <w:color w:val="0000EE"/>
            <w:u w:val="single"/>
          </w:rPr>
          <w:t>7.2</w:t>
        </w:r>
      </w:hyperlink>
      <w:r>
        <w:rPr>
          <w:lang w:val="fr_FR" w:bidi="fr_FR"/>
        </w:rPr>
        <w:t xml:space="preserve">. Toutefois, Paul faisait souvent des apartés en écrivant ses lettres, il est donc également possible que </w:t>
      </w:r>
      <w:hyperlink r:id="rId40">
        <w:r>
          <w:rPr>
            <w:lang w:val="fr_FR" w:bidi="fr_FR"/>
          </w:rPr>
          <w:rPr>
            <w:color w:val="0000EE"/>
            <w:u w:val="single"/>
          </w:rPr>
          <w:t>6.14–7.1</w:t>
        </w:r>
      </w:hyperlink>
      <w:r>
        <w:rPr>
          <w:lang w:val="fr_FR" w:bidi="fr_FR"/>
        </w:rPr>
        <w:t xml:space="preserve"> soit simplement une digression.</w:t>
      </w:r>
    </w:p>
    <w:p>
      <w:pPr/>
      <w:r>
        <w:rPr>
          <w:lang w:val="fr_FR" w:bidi="fr_FR"/>
        </w:rPr>
      </w:r>
      <w:hyperlink r:id="rId39">
        <w:r>
          <w:rPr>
            <w:lang w:val="fr_FR" w:bidi="fr_FR"/>
          </w:rPr>
          <w:rPr>
            <w:color w:val="0000EE"/>
            <w:u w:val="single"/>
          </w:rPr>
          <w:t>2Co 10.1–13.14</w:t>
        </w:r>
      </w:hyperlink>
      <w:r>
        <w:rPr>
          <w:lang w:val="fr_FR" w:bidi="fr_FR"/>
        </w:rPr>
        <w:t xml:space="preserve">. Les quatre derniers chapitres de 2 Corinthiens sont surprenants. Le ton de ces chapitres est indigné et ironique. Certains pensent que ces chapitres font donc partie de la « lettre sévère » de Paul (voir </w:t>
      </w:r>
      <w:hyperlink r:id="rId57">
        <w:r>
          <w:rPr>
            <w:lang w:val="fr_FR" w:bidi="fr_FR"/>
          </w:rPr>
          <w:rPr>
            <w:color w:val="0000EE"/>
            <w:u w:val="single"/>
          </w:rPr>
          <w:t>7.8</w:t>
        </w:r>
      </w:hyperlink>
      <w:r>
        <w:rPr>
          <w:lang w:val="fr_FR" w:bidi="fr_FR"/>
        </w:rPr>
        <w:t>) ; mais c'est peu probable, puisque les Corinthiens ont répondu à sa lettre sévère par le repentir (</w:t>
      </w:r>
      <w:hyperlink r:id="rId58">
        <w:r>
          <w:rPr>
            <w:lang w:val="fr_FR" w:bidi="fr_FR"/>
          </w:rPr>
          <w:rPr>
            <w:color w:val="0000EE"/>
            <w:u w:val="single"/>
          </w:rPr>
          <w:t>7.9</w:t>
        </w:r>
      </w:hyperlink>
      <w:r>
        <w:rPr>
          <w:lang w:val="fr_FR" w:bidi="fr_FR"/>
        </w:rPr>
        <w:t xml:space="preserve">). Il est plus logique de considérer </w:t>
      </w:r>
      <w:hyperlink r:id="rId39">
        <w:r>
          <w:rPr>
            <w:lang w:val="fr_FR" w:bidi="fr_FR"/>
          </w:rPr>
          <w:rPr>
            <w:color w:val="0000EE"/>
            <w:u w:val="single"/>
          </w:rPr>
          <w:t>les chapitres 10–13</w:t>
        </w:r>
      </w:hyperlink>
      <w:r>
        <w:rPr>
          <w:lang w:val="fr_FR" w:bidi="fr_FR"/>
        </w:rPr>
        <w:t xml:space="preserve"> comme ayant été écrits plus tard que </w:t>
      </w:r>
      <w:hyperlink r:id="rId59">
        <w:r>
          <w:rPr>
            <w:lang w:val="fr_FR" w:bidi="fr_FR"/>
          </w:rPr>
          <w:rPr>
            <w:color w:val="0000EE"/>
            <w:u w:val="single"/>
          </w:rPr>
          <w:t>les chapitres 1–9</w:t>
        </w:r>
      </w:hyperlink>
      <w:r>
        <w:rPr>
          <w:lang w:val="fr_FR" w:bidi="fr_FR"/>
        </w:rPr>
        <w:t xml:space="preserve">, en réponse à une nouvelle situation survenue après l'arrivée de faux enseignants à Corinthe (cf. </w:t>
      </w:r>
      <w:hyperlink r:id="rId60">
        <w:r>
          <w:rPr>
            <w:lang w:val="fr_FR" w:bidi="fr_FR"/>
          </w:rPr>
          <w:rPr>
            <w:color w:val="0000EE"/>
            <w:u w:val="single"/>
          </w:rPr>
          <w:t>11.4</w:t>
        </w:r>
      </w:hyperlink>
      <w:r>
        <w:rPr>
          <w:lang w:val="fr_FR" w:bidi="fr_FR"/>
        </w:rPr>
        <w:t xml:space="preserve">, </w:t>
      </w:r>
      <w:hyperlink r:id="rId61">
        <w:r>
          <w:rPr>
            <w:lang w:val="fr_FR" w:bidi="fr_FR"/>
          </w:rPr>
          <w:rPr>
            <w:color w:val="0000EE"/>
            <w:u w:val="single"/>
          </w:rPr>
          <w:t>12–15</w:t>
        </w:r>
      </w:hyperlink>
      <w:r>
        <w:rPr>
          <w:lang w:val="fr_FR" w:bidi="fr_FR"/>
        </w:rPr>
        <w:t xml:space="preserve">). Les Corinthiens avaient chaleureusement accueilli ces enseignants, qui ont rapidement rouvert de vieilles blessures et insinué que Paul n'était pas un véritable apôtre ni même un chrétien du tout (voir </w:t>
      </w:r>
      <w:hyperlink r:id="rId62">
        <w:r>
          <w:rPr>
            <w:lang w:val="fr_FR" w:bidi="fr_FR"/>
          </w:rPr>
          <w:rPr>
            <w:color w:val="0000EE"/>
            <w:u w:val="single"/>
          </w:rPr>
          <w:t>10.7</w:t>
        </w:r>
      </w:hyperlink>
      <w:r>
        <w:rPr>
          <w:lang w:val="fr_FR" w:bidi="fr_FR"/>
        </w:rPr>
        <w:t xml:space="preserve">, </w:t>
      </w:r>
      <w:hyperlink r:id="rId63">
        <w:r>
          <w:rPr>
            <w:lang w:val="fr_FR" w:bidi="fr_FR"/>
          </w:rPr>
          <w:rPr>
            <w:color w:val="0000EE"/>
            <w:u w:val="single"/>
          </w:rPr>
          <w:t>10</w:t>
        </w:r>
      </w:hyperlink>
      <w:r>
        <w:rPr>
          <w:lang w:val="fr_FR" w:bidi="fr_FR"/>
        </w:rPr>
        <w:t xml:space="preserve"> ; </w:t>
      </w:r>
      <w:hyperlink r:id="rId64">
        <w:r>
          <w:rPr>
            <w:lang w:val="fr_FR" w:bidi="fr_FR"/>
          </w:rPr>
          <w:rPr>
            <w:color w:val="0000EE"/>
            <w:u w:val="single"/>
          </w:rPr>
          <w:t>11.5</w:t>
        </w:r>
      </w:hyperlink>
      <w:r>
        <w:rPr>
          <w:lang w:val="fr_FR" w:bidi="fr_FR"/>
        </w:rPr>
        <w:t xml:space="preserve"> ; </w:t>
      </w:r>
      <w:hyperlink r:id="rId65">
        <w:r>
          <w:rPr>
            <w:lang w:val="fr_FR" w:bidi="fr_FR"/>
          </w:rPr>
          <w:rPr>
            <w:color w:val="0000EE"/>
            <w:u w:val="single"/>
          </w:rPr>
          <w:t>12.11</w:t>
        </w:r>
      </w:hyperlink>
      <w:r>
        <w:rPr>
          <w:lang w:val="fr_FR" w:bidi="fr_FR"/>
        </w:rPr>
        <w:t xml:space="preserve">). Lorsque Paul en a été informé, il a rédigé une note cinglante pleine d'ironie, d'invectives, de ridicule et d'autodéfense. Au cœur des </w:t>
      </w:r>
      <w:hyperlink r:id="rId39">
        <w:r>
          <w:rPr>
            <w:lang w:val="fr_FR" w:bidi="fr_FR"/>
          </w:rPr>
          <w:rPr>
            <w:color w:val="0000EE"/>
            <w:u w:val="single"/>
          </w:rPr>
          <w:t>chapitres 10–13</w:t>
        </w:r>
      </w:hyperlink>
      <w:r>
        <w:rPr>
          <w:lang w:val="fr_FR" w:bidi="fr_FR"/>
        </w:rPr>
        <w:t xml:space="preserve"> se trouve le « Discours du Fou » de Paul (</w:t>
      </w:r>
      <w:hyperlink r:id="rId66">
        <w:r>
          <w:rPr>
            <w:lang w:val="fr_FR" w:bidi="fr_FR"/>
          </w:rPr>
          <w:rPr>
            <w:color w:val="0000EE"/>
            <w:u w:val="single"/>
          </w:rPr>
          <w:t>11.16–12.10</w:t>
        </w:r>
      </w:hyperlink>
      <w:r>
        <w:rPr>
          <w:lang w:val="fr_FR" w:bidi="fr_FR"/>
        </w:rPr>
        <w:t>), dans lequel il se résout à se vanter parce que la nécessité l'y oblige (</w:t>
      </w:r>
      <w:hyperlink r:id="rId67">
        <w:r>
          <w:rPr>
            <w:lang w:val="fr_FR" w:bidi="fr_FR"/>
          </w:rPr>
          <w:rPr>
            <w:color w:val="0000EE"/>
            <w:u w:val="single"/>
          </w:rPr>
          <w:t>11.1</w:t>
        </w:r>
      </w:hyperlink>
      <w:r>
        <w:rPr>
          <w:lang w:val="fr_FR" w:bidi="fr_FR"/>
        </w:rPr>
        <w:t xml:space="preserve">, </w:t>
      </w:r>
      <w:hyperlink r:id="rId68">
        <w:r>
          <w:rPr>
            <w:lang w:val="fr_FR" w:bidi="fr_FR"/>
          </w:rPr>
          <w:rPr>
            <w:color w:val="0000EE"/>
            <w:u w:val="single"/>
          </w:rPr>
          <w:t>16–17</w:t>
        </w:r>
      </w:hyperlink>
      <w:r>
        <w:rPr>
          <w:lang w:val="fr_FR" w:bidi="fr_FR"/>
        </w:rPr>
        <w:t>).</w:t>
      </w:r>
    </w:p>
    <w:p>
      <w:pPr/>
      <w:r>
        <w:rPr>
          <w:lang w:val="fr_FR" w:bidi="fr_FR"/>
        </w:rPr>
      </w:r>
      <w:r>
        <w:rPr>
          <w:lang w:val="fr_FR" w:bidi="fr_FR"/>
        </w:rPr>
        <w:t xml:space="preserve">Nous ne savons pas si les paroles conservées dans les </w:t>
      </w:r>
      <w:hyperlink r:id="rId39">
        <w:r>
          <w:rPr>
            <w:lang w:val="fr_FR" w:bidi="fr_FR"/>
          </w:rPr>
          <w:rPr>
            <w:color w:val="0000EE"/>
            <w:u w:val="single"/>
          </w:rPr>
          <w:t>chapitres 10–13</w:t>
        </w:r>
      </w:hyperlink>
      <w:r>
        <w:rPr>
          <w:lang w:val="fr_FR" w:bidi="fr_FR"/>
        </w:rPr>
        <w:t xml:space="preserve"> ont permis d'écarter ces menaces et de défendre une fois de plus la position apostolique de Paul à Corinthe. Paul leur a ensuite rendu visite (</w:t>
      </w:r>
      <w:hyperlink r:id="rId69">
        <w:r>
          <w:rPr>
            <w:lang w:val="fr_FR" w:bidi="fr_FR"/>
          </w:rPr>
          <w:rPr>
            <w:color w:val="0000EE"/>
            <w:u w:val="single"/>
          </w:rPr>
          <w:t>Ac 20.2</w:t>
        </w:r>
      </w:hyperlink>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hyperlink r:id="rId70">
        <w:r>
          <w:rPr>
            <w:lang w:val="fr_FR" w:bidi="fr_FR"/>
          </w:rPr>
          <w:rPr>
            <w:color w:val="0000EE"/>
            <w:u w:val="single"/>
          </w:rPr>
          <w:t>1.1–7.16</w:t>
        </w:r>
      </w:hyperlink>
      <w:r>
        <w:rPr>
          <w:lang w:val="fr_FR" w:bidi="fr_FR"/>
        </w:rPr>
        <w:t>) explique et décrit les responsabilités et privilèges d'un responsable d'Église. Le message de la bonne nouvelle est nouveau (</w:t>
      </w:r>
      <w:hyperlink r:id="rId32">
        <w:r>
          <w:rPr>
            <w:lang w:val="fr_FR" w:bidi="fr_FR"/>
          </w:rPr>
          <w:rPr>
            <w:color w:val="0000EE"/>
            <w:u w:val="single"/>
          </w:rPr>
          <w:t>3.1–18</w:t>
        </w:r>
      </w:hyperlink>
      <w:r>
        <w:rPr>
          <w:lang w:val="fr_FR" w:bidi="fr_FR"/>
        </w:rPr>
        <w:t>) et doit être confirmé par le mode de vie de ceux qui le proclament. De plus, la bonne nouvelle apporte la réconciliation (</w:t>
      </w:r>
      <w:hyperlink r:id="rId34">
        <w:r>
          <w:rPr>
            <w:lang w:val="fr_FR" w:bidi="fr_FR"/>
          </w:rPr>
          <w:rPr>
            <w:color w:val="0000EE"/>
            <w:u w:val="single"/>
          </w:rPr>
          <w:t>5.1–21</w:t>
        </w:r>
      </w:hyperlink>
      <w:r>
        <w:rPr>
          <w:lang w:val="fr_FR" w:bidi="fr_FR"/>
        </w:rPr>
        <w:t>).</w:t>
      </w:r>
    </w:p>
    <w:p>
      <w:pPr/>
      <w:r>
        <w:rPr>
          <w:lang w:val="fr_FR" w:bidi="fr_FR"/>
        </w:rPr>
      </w:r>
      <w:r>
        <w:rPr>
          <w:lang w:val="fr_FR" w:bidi="fr_FR"/>
        </w:rPr>
        <w:t xml:space="preserve">Le cœur de la bonne nouvelle. Le </w:t>
      </w:r>
      <w:hyperlink r:id="rId34">
        <w:r>
          <w:rPr>
            <w:lang w:val="fr_FR" w:bidi="fr_FR"/>
          </w:rPr>
          <w:rPr>
            <w:color w:val="0000EE"/>
            <w:u w:val="single"/>
          </w:rPr>
          <w:t>chapitre 5</w:t>
        </w:r>
      </w:hyperlink>
      <w:r>
        <w:rPr>
          <w:lang w:val="fr_FR" w:bidi="fr_FR"/>
        </w:rPr>
        <w:t xml:space="preserve"> présente la version la plus complète du message central de Paul (</w:t>
      </w:r>
      <w:hyperlink r:id="rId71">
        <w:r>
          <w:rPr>
            <w:lang w:val="fr_FR" w:bidi="fr_FR"/>
          </w:rPr>
          <w:rPr>
            <w:color w:val="0000EE"/>
            <w:u w:val="single"/>
          </w:rPr>
          <w:t>5.18–21</w:t>
        </w:r>
      </w:hyperlink>
      <w:r>
        <w:rPr>
          <w:lang w:val="fr_FR" w:bidi="fr_FR"/>
        </w:rPr>
        <w:t>). Paul avait déjà dit aux Corinthiens qu'il était venu prêcher le Christ crucifié (</w:t>
      </w:r>
      <w:hyperlink r:id="rId72">
        <w:r>
          <w:rPr>
            <w:lang w:val="fr_FR" w:bidi="fr_FR"/>
          </w:rPr>
          <w:rPr>
            <w:color w:val="0000EE"/>
            <w:u w:val="single"/>
          </w:rPr>
          <w:t>1Co 1.18–2.2</w:t>
        </w:r>
      </w:hyperlink>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3">
        <w:r>
          <w:rPr>
            <w:lang w:val="fr_FR" w:bidi="fr_FR"/>
          </w:rPr>
          <w:rPr>
            <w:color w:val="0000EE"/>
            <w:u w:val="single"/>
          </w:rPr>
          <w:t>2Co 5.20</w:t>
        </w:r>
      </w:hyperlink>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hyperlink r:id="rId40">
        <w:r>
          <w:rPr>
            <w:lang w:val="fr_FR" w:bidi="fr_FR"/>
          </w:rPr>
          <w:rPr>
            <w:color w:val="0000EE"/>
            <w:u w:val="single"/>
          </w:rPr>
          <w:t>6.14–7.1</w:t>
        </w:r>
      </w:hyperlink>
      <w:r>
        <w:rPr>
          <w:lang w:val="fr_FR" w:bidi="fr_FR"/>
        </w:rPr>
        <w:t>) et à une épouse (</w:t>
      </w:r>
      <w:hyperlink r:id="rId74">
        <w:r>
          <w:rPr>
            <w:lang w:val="fr_FR" w:bidi="fr_FR"/>
          </w:rPr>
          <w:rPr>
            <w:color w:val="0000EE"/>
            <w:u w:val="single"/>
          </w:rPr>
          <w:t>11.2</w:t>
        </w:r>
      </w:hyperlink>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hyperlink r:id="rId38">
        <w:r>
          <w:rPr>
            <w:lang w:val="fr_FR" w:bidi="fr_FR"/>
          </w:rPr>
          <w:rPr>
            <w:color w:val="0000EE"/>
            <w:u w:val="single"/>
          </w:rPr>
          <w:t>8.1–9.15</w:t>
        </w:r>
      </w:hyperlink>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5">
        <w:r>
          <w:rPr>
            <w:lang w:val="fr_FR" w:bidi="fr_FR"/>
          </w:rPr>
          <w:rPr>
            <w:color w:val="0000EE"/>
            <w:u w:val="single"/>
          </w:rPr>
          <w:t>8.9</w:t>
        </w:r>
      </w:hyperlink>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