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2"/>
      </w:pPr>
      <w:r>
        <w:rPr>
          <w:lang w:val="fr_FR" w:bidi="fr_FR"/>
        </w:rPr>
        <w:t>Contexte</w:t>
      </w:r>
    </w:p>
    <w:p>
      <w:pPr/>
      <w:r>
        <w:rPr>
          <w:lang w:val="fr_FR" w:bidi="fr_FR"/>
        </w:rPr>
      </w:r>
      <w:r>
        <w:rPr>
          <w:lang w:val="fr_FR" w:bidi="fr_FR"/>
        </w:rP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pPr/>
      <w:r>
        <w:rPr>
          <w:lang w:val="fr_FR" w:bidi="fr_FR"/>
        </w:rPr>
      </w:r>
      <w:r>
        <w:rPr>
          <w:lang w:val="fr_FR" w:bidi="fr_FR"/>
        </w:rPr>
        <w:t xml:space="preserve">Philippes entend la Bonne Nouvelle du Christ lors du deuxième voyage missionnaire de Paul (vers 50 apr. J.‑C. ; voir </w:t>
      </w:r>
      <w:hyperlink r:id="rId15">
        <w:r>
          <w:rPr>
            <w:lang w:val="fr_FR" w:bidi="fr_FR"/>
          </w:rPr>
          <w:rPr>
            <w:color w:val="0000EE"/>
            <w:u w:val="single"/>
          </w:rPr>
          <w:t>Ac 16.11–40</w:t>
        </w:r>
      </w:hyperlink>
      <w:r>
        <w:rPr>
          <w:lang w:val="fr_FR" w:bidi="fr_FR"/>
        </w:rPr>
        <w:t>). Dès le début, la prédication de Paul fait face à de l'opposition. Pendant son bref séjour là-bas, il est emprisonné puis prié de quitter la ville, mais pas avant qu'un groupe de nouveaux croyants ne se soit constitué (</w:t>
      </w:r>
      <w:hyperlink r:id="rId16">
        <w:r>
          <w:rPr>
            <w:lang w:val="fr_FR" w:bidi="fr_FR"/>
          </w:rPr>
          <w:rPr>
            <w:color w:val="0000EE"/>
            <w:u w:val="single"/>
          </w:rPr>
          <w:t>Ac 16.35–40</w:t>
        </w:r>
      </w:hyperlink>
      <w:r>
        <w:rPr>
          <w:lang w:val="fr_FR" w:bidi="fr_FR"/>
        </w:rPr>
        <w:t>).</w:t>
      </w:r>
    </w:p>
    <w:p>
      <w:pPr/>
      <w:r>
        <w:rPr>
          <w:lang w:val="fr_FR" w:bidi="fr_FR"/>
        </w:rPr>
      </w:r>
      <w:r>
        <w:rPr>
          <w:lang w:val="fr_FR" w:bidi="fr_FR"/>
        </w:rPr>
        <w:t xml:space="preserve">Environ six ans plus tard (vers 56–57 apr. J.‑C.), lors de son troisième voyage missionnaire, Paul visite à nouveau Philippes (voir </w:t>
      </w:r>
      <w:hyperlink r:id="rId17">
        <w:r>
          <w:rPr>
            <w:lang w:val="fr_FR" w:bidi="fr_FR"/>
          </w:rPr>
          <w:rPr>
            <w:color w:val="0000EE"/>
            <w:u w:val="single"/>
          </w:rPr>
          <w:t>Ac 20.1–6</w:t>
        </w:r>
      </w:hyperlink>
      <w:r>
        <w:rPr>
          <w:lang w:val="fr_FR" w:bidi="fr_FR"/>
        </w:rPr>
        <w:t xml:space="preserve">). Il est possible qu'après cette visite, il n'ait jamais revu les chrétiens de Philippes (mais voir </w:t>
      </w:r>
      <w:hyperlink r:id="rId18">
        <w:r>
          <w:rPr>
            <w:lang w:val="fr_FR" w:bidi="fr_FR"/>
          </w:rPr>
          <w:rPr>
            <w:color w:val="0000EE"/>
            <w:u w:val="single"/>
          </w:rPr>
          <w:t>1Tm 1.3</w:t>
        </w:r>
      </w:hyperlink>
      <w:r>
        <w:rPr>
          <w:lang w:val="fr_FR" w:bidi="fr_FR"/>
        </w:rPr>
        <w:t>, écrit vers 63 apr. J.‑C.).</w:t>
      </w:r>
    </w:p>
    <w:p>
      <w:pPr/>
      <w:r>
        <w:rPr>
          <w:lang w:val="fr_FR" w:bidi="fr_FR"/>
        </w:rPr>
      </w:r>
      <w:r>
        <w:rPr>
          <w:lang w:val="fr_FR" w:bidi="fr_FR"/>
        </w:rP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2"/>
      </w:pPr>
      <w:r>
        <w:rPr>
          <w:lang w:val="fr_FR" w:bidi="fr_FR"/>
        </w:rPr>
        <w:t>Résumé</w:t>
      </w:r>
    </w:p>
    <w:p>
      <w:pPr/>
      <w:r>
        <w:rPr>
          <w:lang w:val="fr_FR" w:bidi="fr_FR"/>
        </w:rPr>
      </w:r>
      <w:r>
        <w:rPr>
          <w:lang w:val="fr_FR" w:bidi="fr_FR"/>
        </w:rPr>
        <w:t>Après une brève introduction (</w:t>
      </w:r>
      <w:hyperlink r:id="rId19">
        <w:r>
          <w:rPr>
            <w:lang w:val="fr_FR" w:bidi="fr_FR"/>
          </w:rPr>
          <w:rPr>
            <w:color w:val="0000EE"/>
            <w:u w:val="single"/>
          </w:rPr>
          <w:t>1.1–2</w:t>
        </w:r>
      </w:hyperlink>
      <w:r>
        <w:rPr>
          <w:lang w:val="fr_FR" w:bidi="fr_FR"/>
        </w:rPr>
        <w:t>), Paul exprime sa gratitude envers Dieu pour les Philippiens et prie pour leur croissance spirituelle (</w:t>
      </w:r>
      <w:hyperlink r:id="rId20">
        <w:r>
          <w:rPr>
            <w:lang w:val="fr_FR" w:bidi="fr_FR"/>
          </w:rPr>
          <w:rPr>
            <w:color w:val="0000EE"/>
            <w:u w:val="single"/>
          </w:rPr>
          <w:t>1.3–11</w:t>
        </w:r>
      </w:hyperlink>
      <w:r>
        <w:rPr>
          <w:lang w:val="fr_FR" w:bidi="fr_FR"/>
        </w:rPr>
        <w:t>). Il parle ensuite de sa propre expérience en prison et de la façon dont cela a conduit à la diffusion de la Bonne Nouvelle (</w:t>
      </w:r>
      <w:hyperlink r:id="rId21">
        <w:r>
          <w:rPr>
            <w:lang w:val="fr_FR" w:bidi="fr_FR"/>
          </w:rPr>
          <w:rPr>
            <w:color w:val="0000EE"/>
            <w:u w:val="single"/>
          </w:rPr>
          <w:t>1.12–19</w:t>
        </w:r>
      </w:hyperlink>
      <w:r>
        <w:rPr>
          <w:lang w:val="fr_FR" w:bidi="fr_FR"/>
        </w:rPr>
        <w:t>). Le plus grand désir de Paul est de vivre et de mourir pour Christ, quelle que soit sa situation (</w:t>
      </w:r>
      <w:hyperlink r:id="rId22">
        <w:r>
          <w:rPr>
            <w:lang w:val="fr_FR" w:bidi="fr_FR"/>
          </w:rPr>
          <w:rPr>
            <w:color w:val="0000EE"/>
            <w:u w:val="single"/>
          </w:rPr>
          <w:t>1.20–26</w:t>
        </w:r>
      </w:hyperlink>
      <w:r>
        <w:rPr>
          <w:lang w:val="fr_FR" w:bidi="fr_FR"/>
        </w:rPr>
        <w:t>). Les Philippiens doivent également être forts dans leur foi alors qu'ils souffrent pour Christ (</w:t>
      </w:r>
      <w:hyperlink r:id="rId23">
        <w:r>
          <w:rPr>
            <w:lang w:val="fr_FR" w:bidi="fr_FR"/>
          </w:rPr>
          <w:rPr>
            <w:color w:val="0000EE"/>
            <w:u w:val="single"/>
          </w:rPr>
          <w:t>1.27–30</w:t>
        </w:r>
      </w:hyperlink>
      <w:r>
        <w:rPr>
          <w:lang w:val="fr_FR" w:bidi="fr_FR"/>
        </w:rPr>
        <w:t>). Ils sont exhortés à se soutenir mutuellement, au souvenir de l'exemple de Christ, qui a tout donné en sacrifiant sa vie pour la leur (</w:t>
      </w:r>
      <w:hyperlink r:id="rId24">
        <w:r>
          <w:rPr>
            <w:lang w:val="fr_FR" w:bidi="fr_FR"/>
          </w:rPr>
          <w:rPr>
            <w:color w:val="0000EE"/>
            <w:u w:val="single"/>
          </w:rPr>
          <w:t>2.1–18</w:t>
        </w:r>
      </w:hyperlink>
      <w:r>
        <w:rPr>
          <w:lang w:val="fr_FR" w:bidi="fr_FR"/>
        </w:rPr>
        <w:t>).</w:t>
      </w:r>
    </w:p>
    <w:p>
      <w:pPr/>
      <w:r>
        <w:rPr>
          <w:lang w:val="fr_FR" w:bidi="fr_FR"/>
        </w:rPr>
      </w:r>
      <w:r>
        <w:rPr>
          <w:lang w:val="fr_FR" w:bidi="fr_FR"/>
        </w:rPr>
        <w:t>Désireux de savoir comment les Philippiens s'en sortent et de leur dire comment il va, Paul enverra bientôt Épaphrodite et Timothée chez eux, tous deux ayant prouvé leur disposition à souffrir pour Christ (</w:t>
      </w:r>
      <w:hyperlink r:id="rId25">
        <w:r>
          <w:rPr>
            <w:lang w:val="fr_FR" w:bidi="fr_FR"/>
          </w:rPr>
          <w:rPr>
            <w:color w:val="0000EE"/>
            <w:u w:val="single"/>
          </w:rPr>
          <w:t>2.19–30</w:t>
        </w:r>
      </w:hyperlink>
      <w:r>
        <w:rPr>
          <w:lang w:val="fr_FR" w:bidi="fr_FR"/>
        </w:rPr>
        <w:t>).</w:t>
      </w:r>
    </w:p>
    <w:p>
      <w:pPr/>
      <w:r>
        <w:rPr>
          <w:lang w:val="fr_FR" w:bidi="fr_FR"/>
        </w:rPr>
      </w:r>
      <w:r>
        <w:rPr>
          <w:lang w:val="fr_FR" w:bidi="fr_FR"/>
        </w:rPr>
        <w:t>Paul avertit ensuite les Philippiens au sujet de la propagande judéo-chrétienne exigeant une pleine conformité à la loi de Moïse (</w:t>
      </w:r>
      <w:hyperlink r:id="rId26">
        <w:r>
          <w:rPr>
            <w:lang w:val="fr_FR" w:bidi="fr_FR"/>
          </w:rPr>
          <w:rPr>
            <w:color w:val="0000EE"/>
            <w:u w:val="single"/>
          </w:rPr>
          <w:t>3.1–3</w:t>
        </w:r>
      </w:hyperlink>
      <w:r>
        <w:rPr>
          <w:lang w:val="fr_FR" w:bidi="fr_FR"/>
        </w:rP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hyperlink r:id="rId27">
        <w:r>
          <w:rPr>
            <w:lang w:val="fr_FR" w:bidi="fr_FR"/>
          </w:rPr>
          <w:rPr>
            <w:color w:val="0000EE"/>
            <w:u w:val="single"/>
          </w:rPr>
          <w:t>3.4–11</w:t>
        </w:r>
      </w:hyperlink>
      <w:r>
        <w:rPr>
          <w:lang w:val="fr_FR" w:bidi="fr_FR"/>
        </w:rPr>
        <w:t>). Tous les croyants doivent s'unir dans la poursuite d'une vie pleine en Christ (</w:t>
      </w:r>
      <w:hyperlink r:id="rId28">
        <w:r>
          <w:rPr>
            <w:lang w:val="fr_FR" w:bidi="fr_FR"/>
          </w:rPr>
          <w:rPr>
            <w:color w:val="0000EE"/>
            <w:u w:val="single"/>
          </w:rPr>
          <w:t>3.12–4.1</w:t>
        </w:r>
      </w:hyperlink>
      <w:r>
        <w:rPr>
          <w:lang w:val="fr_FR" w:bidi="fr_FR"/>
        </w:rPr>
        <w:t>).</w:t>
      </w:r>
    </w:p>
    <w:p>
      <w:pPr/>
      <w:r>
        <w:rPr>
          <w:lang w:val="fr_FR" w:bidi="fr_FR"/>
        </w:rPr>
      </w:r>
      <w:r>
        <w:rPr>
          <w:lang w:val="fr_FR" w:bidi="fr_FR"/>
        </w:rPr>
        <w:t>En conclusion, Paul encourage les Philippiens à combler leur vie de joie, de prière et de reconnaissance, en tournant leurs pensées vers les merveilleux dons de Dieu, même dans la persécution (</w:t>
      </w:r>
      <w:hyperlink r:id="rId29">
        <w:r>
          <w:rPr>
            <w:lang w:val="fr_FR" w:bidi="fr_FR"/>
          </w:rPr>
          <w:rPr>
            <w:color w:val="0000EE"/>
            <w:u w:val="single"/>
          </w:rPr>
          <w:t>4.2–9</w:t>
        </w:r>
      </w:hyperlink>
      <w:r>
        <w:rPr>
          <w:lang w:val="fr_FR" w:bidi="fr_FR"/>
        </w:rPr>
        <w:t>). Il les remercie pour l'argent qu'ils ont envoyé. Il leur témoigne qu'il a appris à être content quelles que soient les circonstances, et sous-entend qu'eux aussi doivent apprendre à vivre d'une telle façon (</w:t>
      </w:r>
      <w:hyperlink r:id="rId30">
        <w:r>
          <w:rPr>
            <w:lang w:val="fr_FR" w:bidi="fr_FR"/>
          </w:rPr>
          <w:rPr>
            <w:color w:val="0000EE"/>
            <w:u w:val="single"/>
          </w:rPr>
          <w:t>4.1–20</w:t>
        </w:r>
      </w:hyperlink>
      <w:r>
        <w:rPr>
          <w:lang w:val="fr_FR" w:bidi="fr_FR"/>
        </w:rPr>
        <w:t>). Comme d'habitude, Paul termine sa lettre par des louanges à Dieu, des salutations aux croyants, et une invocation de la grâce du Seigneur (</w:t>
      </w:r>
      <w:hyperlink r:id="rId31">
        <w:r>
          <w:rPr>
            <w:lang w:val="fr_FR" w:bidi="fr_FR"/>
          </w:rPr>
          <w:rPr>
            <w:color w:val="0000EE"/>
            <w:u w:val="single"/>
          </w:rPr>
          <w:t>4.21–23</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Les lettres aux Éphésiens, Philippiens, Colossiens et à Philémon sont souvent appelées les Lettres de captivité, </w:t>
      </w:r>
      <w:r>
        <w:rPr>
          <w:lang w:val="fr_FR" w:bidi="fr_FR"/>
        </w:rPr>
        <w:t>car elles font toutes référence au fait qu'elles ont été écrites depuis une prison</w:t>
      </w:r>
      <w:r>
        <w:rPr>
          <w:lang w:val="fr_FR" w:bidi="fr_FR"/>
        </w:rP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rPr>
          <w:lang w:val="fr_FR" w:bidi="fr_FR"/>
        </w:rPr>
        <w:t>Pendant les deux ou trois ans que Paul passa dans cette ville, il connut beaucoup d'opposition et de souffrances</w:t>
      </w:r>
      <w:r>
        <w:rPr>
          <w:lang w:val="fr_FR" w:bidi="fr_FR"/>
        </w:rPr>
        <w:t xml:space="preserve"> (voir </w:t>
      </w:r>
      <w:hyperlink r:id="rId32">
        <w:r>
          <w:rPr>
            <w:lang w:val="fr_FR" w:bidi="fr_FR"/>
          </w:rPr>
          <w:rPr>
            <w:color w:val="0000EE"/>
            <w:u w:val="single"/>
          </w:rPr>
          <w:t>Ac 19.23–20.1</w:t>
        </w:r>
      </w:hyperlink>
      <w:r>
        <w:rPr>
          <w:lang w:val="fr_FR" w:bidi="fr_FR"/>
        </w:rPr>
        <w:t xml:space="preserve"> ; </w:t>
      </w:r>
      <w:hyperlink r:id="rId33">
        <w:r>
          <w:rPr>
            <w:lang w:val="fr_FR" w:bidi="fr_FR"/>
          </w:rPr>
          <w:rPr>
            <w:color w:val="0000EE"/>
            <w:u w:val="single"/>
          </w:rPr>
          <w:t>2Co 11.23–28</w:t>
        </w:r>
      </w:hyperlink>
      <w:r>
        <w:rPr>
          <w:lang w:val="fr_FR" w:bidi="fr_FR"/>
        </w:rPr>
        <w:t>).</w:t>
      </w:r>
    </w:p>
    <w:p>
      <w:pPr>
        <w:pStyle w:val="Heading2"/>
      </w:pPr>
      <w:r>
        <w:rPr>
          <w:lang w:val="fr_FR" w:bidi="fr_FR"/>
        </w:rPr>
        <w:t>Unité littéraire</w:t>
      </w:r>
    </w:p>
    <w:p>
      <w:pPr/>
      <w:r>
        <w:rPr>
          <w:lang w:val="fr_FR" w:bidi="fr_FR"/>
        </w:rPr>
      </w:r>
      <w:r>
        <w:rPr>
          <w:lang w:val="fr_FR" w:bidi="fr_FR"/>
        </w:rPr>
        <w:t xml:space="preserve">Dans le but d'expliquer les soudains changements de contenu et de ton dans l'écriture (voir surtout </w:t>
      </w:r>
      <w:hyperlink r:id="rId34">
        <w:r>
          <w:rPr>
            <w:lang w:val="fr_FR" w:bidi="fr_FR"/>
          </w:rPr>
          <w:rPr>
            <w:color w:val="0000EE"/>
            <w:u w:val="single"/>
          </w:rPr>
          <w:t>3.2–4.3</w:t>
        </w:r>
      </w:hyperlink>
      <w:r>
        <w:rPr>
          <w:lang w:val="fr_FR" w:bidi="fr_FR"/>
        </w:rPr>
        <w:t xml:space="preserve"> et </w:t>
      </w:r>
      <w:hyperlink r:id="rId35">
        <w:r>
          <w:rPr>
            <w:lang w:val="fr_FR" w:bidi="fr_FR"/>
          </w:rPr>
          <w:rPr>
            <w:color w:val="0000EE"/>
            <w:u w:val="single"/>
          </w:rPr>
          <w:t>4.10–20</w:t>
        </w:r>
      </w:hyperlink>
      <w:r>
        <w:rPr>
          <w:lang w:val="fr_FR" w:bidi="fr_FR"/>
        </w:rP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2"/>
      </w:pPr>
      <w:r>
        <w:rPr>
          <w:lang w:val="fr_FR" w:bidi="fr_FR"/>
        </w:rPr>
        <w:t>Sens et message</w:t>
      </w:r>
    </w:p>
    <w:p>
      <w:pPr/>
      <w:r>
        <w:rPr>
          <w:lang w:val="fr_FR" w:bidi="fr_FR"/>
        </w:rPr>
      </w:r>
      <w:r>
        <w:rPr>
          <w:lang w:val="fr_FR" w:bidi="fr_FR"/>
        </w:rP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pPr/>
      <w:r>
        <w:rPr>
          <w:lang w:val="fr_FR" w:bidi="fr_FR"/>
        </w:rPr>
      </w:r>
      <w:r>
        <w:rPr>
          <w:lang w:val="fr_FR" w:bidi="fr_FR"/>
        </w:rP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hyperlink r:id="rId36">
        <w:r>
          <w:rPr>
            <w:lang w:val="fr_FR" w:bidi="fr_FR"/>
          </w:rPr>
          <w:rPr>
            <w:color w:val="0000EE"/>
            <w:u w:val="single"/>
          </w:rPr>
          <w:t>1.12–26</w:t>
        </w:r>
      </w:hyperlink>
      <w:r>
        <w:rPr>
          <w:lang w:val="fr_FR" w:bidi="fr_FR"/>
        </w:rP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hyperlink r:id="rId37">
        <w:r>
          <w:rPr>
            <w:lang w:val="fr_FR" w:bidi="fr_FR"/>
          </w:rPr>
          <w:rPr>
            <w:color w:val="0000EE"/>
            <w:u w:val="single"/>
          </w:rPr>
          <w:t>3.7–14</w:t>
        </w:r>
      </w:hyperlink>
      <w:r>
        <w:rPr>
          <w:lang w:val="fr_FR" w:bidi="fr_FR"/>
        </w:rPr>
        <w:t xml:space="preserve">). </w:t>
      </w:r>
      <w:r>
        <w:rPr>
          <w:lang w:val="fr_FR" w:bidi="fr_FR"/>
        </w:rPr>
        <w:t>Entre-temps, Paul a appris à se satisfaire de son sort, quel qu'il soit. Il s'appuie sur le Christ et a trouvé la force du Christ suffisante, même dans les situations les plus éprouvantes</w:t>
      </w:r>
      <w:r>
        <w:rPr>
          <w:lang w:val="fr_FR" w:bidi="fr_FR"/>
        </w:rPr>
        <w:t xml:space="preserve"> (</w:t>
      </w:r>
      <w:hyperlink r:id="rId38">
        <w:r>
          <w:rPr>
            <w:lang w:val="fr_FR" w:bidi="fr_FR"/>
          </w:rPr>
          <w:rPr>
            <w:color w:val="0000EE"/>
            <w:u w:val="single"/>
          </w:rPr>
          <w:t>4.11–13</w:t>
        </w:r>
      </w:hyperlink>
      <w:r>
        <w:rPr>
          <w:lang w:val="fr_FR" w:bidi="fr_FR"/>
        </w:rPr>
        <w:t>).</w:t>
      </w:r>
    </w:p>
    <w:p>
      <w:pPr/>
      <w:r>
        <w:rPr>
          <w:lang w:val="fr_FR" w:bidi="fr_FR"/>
        </w:rPr>
      </w:r>
      <w:r>
        <w:rPr>
          <w:lang w:val="fr_FR" w:bidi="fr_FR"/>
        </w:rP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hyperlink r:id="rId39">
        <w:r>
          <w:rPr>
            <w:lang w:val="fr_FR" w:bidi="fr_FR"/>
          </w:rPr>
          <w:rPr>
            <w:color w:val="0000EE"/>
            <w:u w:val="single"/>
          </w:rPr>
          <w:t>4.4–9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