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Exodus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2"/>
      </w:pPr>
      <w:r>
        <w:rPr>
          <w:lang w:val="pt_PT" w:bidi="pt_PT"/>
        </w:rPr>
        <w:t>Cenário</w:t>
      </w:r>
    </w:p>
    <w:p>
      <w:pPr/>
      <w:r>
        <w:rPr>
          <w:lang w:val="pt_PT" w:bidi="pt_PT"/>
        </w:rPr>
      </w:r>
      <w:r>
        <w:rPr>
          <w:lang w:val="pt_PT" w:bidi="pt_PT"/>
        </w:rP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pPr/>
      <w:r>
        <w:rPr>
          <w:lang w:val="pt_PT" w:bidi="pt_PT"/>
        </w:rPr>
      </w:r>
      <w:r>
        <w:rPr>
          <w:lang w:val="pt_PT" w:bidi="pt_PT"/>
        </w:rPr>
        <w:t>Foi durante este período que os israelitas partiram do Egito. Deus não levou seu povo para fora durante um tempo de fraqueza egípcia; ele os dirigiu adiante quando a força egípcia estava em seu auge.</w:t>
      </w:r>
    </w:p>
    <w:p>
      <w:pPr>
        <w:pStyle w:val="Heading2"/>
      </w:pPr>
      <w:r>
        <w:rPr>
          <w:lang w:val="pt_PT" w:bidi="pt_PT"/>
        </w:rPr>
        <w:t>Resumo</w:t>
      </w:r>
    </w:p>
    <w:p>
      <w:pPr/>
      <w:r>
        <w:rPr>
          <w:lang w:val="pt_PT" w:bidi="pt_PT"/>
        </w:rPr>
      </w:r>
      <w:r>
        <w:rPr>
          <w:lang w:val="pt_PT" w:bidi="pt_PT"/>
        </w:rPr>
        <w:t xml:space="preserve">O termo </w:t>
      </w:r>
      <w:r>
        <w:rPr>
          <w:i/>
          <w:lang w:val="pt_PT" w:bidi="pt_PT"/>
        </w:rPr>
        <w:t>Êxodo</w:t>
      </w:r>
      <w:r>
        <w:rPr>
          <w:lang w:val="pt_PT" w:bidi="pt_PT"/>
        </w:rPr>
        <w:t xml:space="preserve"> deriva da palavra grega </w:t>
      </w:r>
      <w:r>
        <w:rPr>
          <w:i/>
          <w:lang w:val="pt_PT" w:bidi="pt_PT"/>
        </w:rPr>
        <w:t>exodos</w:t>
      </w:r>
      <w:r>
        <w:rPr>
          <w:lang w:val="pt_PT" w:bidi="pt_PT"/>
        </w:rPr>
        <w:t xml:space="preserve">, que significa “a saída”. </w:t>
      </w:r>
      <w:hyperlink r:id="rId15">
        <w:r>
          <w:rPr>
            <w:lang w:val="pt_PT" w:bidi="pt_PT"/>
          </w:rPr>
          <w:rPr>
            <w:color w:val="0000EE"/>
            <w:u w:val="single"/>
          </w:rPr>
          <w:t>Êxodo 1–15</w:t>
        </w:r>
      </w:hyperlink>
      <w:r>
        <w:rPr>
          <w:lang w:val="pt_PT" w:bidi="pt_PT"/>
        </w:rPr>
        <w:t xml:space="preserve"> é sobre a “saída” dos hebreus do Egito. O resto de Êxodo (caps. </w:t>
      </w:r>
      <w:hyperlink r:id="rId16">
        <w:r>
          <w:rPr>
            <w:lang w:val="pt_PT" w:bidi="pt_PT"/>
          </w:rPr>
          <w:rPr>
            <w:color w:val="0000EE"/>
            <w:u w:val="single"/>
          </w:rPr>
          <w:t>16–40</w:t>
        </w:r>
      </w:hyperlink>
      <w:r>
        <w:rPr>
          <w:lang w:val="pt_PT" w:bidi="pt_PT"/>
        </w:rP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hyperlink r:id="rId15">
        <w:r>
          <w:rPr>
            <w:lang w:val="pt_PT" w:bidi="pt_PT"/>
          </w:rPr>
          <w:rPr>
            <w:color w:val="0000EE"/>
            <w:u w:val="single"/>
          </w:rPr>
          <w:t>1–15</w:t>
        </w:r>
      </w:hyperlink>
      <w:r>
        <w:rPr>
          <w:lang w:val="pt_PT" w:bidi="pt_PT"/>
        </w:rPr>
        <w:t xml:space="preserve">), saber quem Deus é e como ele é por meio do pacto no Sinai (caps. </w:t>
      </w:r>
      <w:hyperlink r:id="rId17">
        <w:r>
          <w:rPr>
            <w:lang w:val="pt_PT" w:bidi="pt_PT"/>
          </w:rPr>
          <w:rPr>
            <w:color w:val="0000EE"/>
            <w:u w:val="single"/>
          </w:rPr>
          <w:t>16–24</w:t>
        </w:r>
      </w:hyperlink>
      <w:r>
        <w:rPr>
          <w:lang w:val="pt_PT" w:bidi="pt_PT"/>
        </w:rPr>
        <w:t xml:space="preserve">), e experimentar a comunhão com Deus por meio do Tabernáculo (caps. </w:t>
      </w:r>
      <w:hyperlink r:id="rId18">
        <w:r>
          <w:rPr>
            <w:lang w:val="pt_PT" w:bidi="pt_PT"/>
          </w:rPr>
          <w:rPr>
            <w:color w:val="0000EE"/>
            <w:u w:val="single"/>
          </w:rPr>
          <w:t>25–40</w:t>
        </w:r>
      </w:hyperlink>
      <w:r>
        <w:rPr>
          <w:lang w:val="pt_PT" w:bidi="pt_PT"/>
        </w:rPr>
        <w:t>). Todos nós temos a mesma necessidade de ser libertos, conhecer a Deus e experimentar a comunhão com ele.</w:t>
      </w:r>
    </w:p>
    <w:p>
      <w:pPr>
        <w:pStyle w:val="Heading2"/>
      </w:pPr>
      <w:r>
        <w:rPr>
          <w:lang w:val="pt_PT" w:bidi="pt_PT"/>
        </w:rPr>
        <w:t>Autoria</w:t>
      </w:r>
    </w:p>
    <w:p>
      <w:pPr/>
      <w:r>
        <w:rPr>
          <w:lang w:val="pt_PT" w:bidi="pt_PT"/>
        </w:rPr>
      </w:r>
      <w:r>
        <w:rPr>
          <w:lang w:val="pt_PT" w:bidi="pt_PT"/>
        </w:rPr>
        <w:t>Moisés é tradicionalmente considerado o autor do Pentateuco (</w:t>
      </w:r>
      <w:hyperlink r:id="rId19">
        <w:r>
          <w:rPr>
            <w:lang w:val="pt_PT" w:bidi="pt_PT"/>
          </w:rPr>
          <w:rPr>
            <w:color w:val="0000EE"/>
            <w:u w:val="single"/>
          </w:rPr>
          <w:t>Gênesis-Deuteronômio</w:t>
        </w:r>
      </w:hyperlink>
      <w:r>
        <w:rPr>
          <w:lang w:val="pt_PT" w:bidi="pt_PT"/>
        </w:rPr>
        <w:t xml:space="preserve">), embora muitos estudiosos questionem isso. Veja </w:t>
      </w:r>
      <w:r>
        <w:rPr>
          <w:lang w:val="pt_PT" w:bidi="pt_PT"/>
        </w:rPr>
        <w:t>Introdução ao Livro de Gênesis</w:t>
      </w:r>
      <w:r>
        <w:rPr>
          <w:lang w:val="pt_PT" w:bidi="pt_PT"/>
        </w:rPr>
        <w:t>, “Autoria”.</w:t>
      </w:r>
    </w:p>
    <w:p>
      <w:pPr>
        <w:pStyle w:val="Heading2"/>
      </w:pPr>
      <w:r>
        <w:rPr>
          <w:lang w:val="pt_PT" w:bidi="pt_PT"/>
        </w:rPr>
        <w:t>A data do Êxodo (1446 ou 1270 a.C.)</w:t>
      </w:r>
    </w:p>
    <w:p>
      <w:pPr/>
      <w:r>
        <w:rPr>
          <w:lang w:val="pt_PT" w:bidi="pt_PT"/>
        </w:rPr>
      </w:r>
      <w:r>
        <w:rPr>
          <w:lang w:val="pt_PT" w:bidi="pt_PT"/>
        </w:rP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pPr/>
      <w:r>
        <w:rPr>
          <w:lang w:val="pt_PT" w:bidi="pt_PT"/>
        </w:rPr>
      </w:r>
      <w:r>
        <w:rPr>
          <w:lang w:val="pt_PT" w:bidi="pt_PT"/>
        </w:rPr>
        <w:t xml:space="preserve">Primeiro, de acordo com </w:t>
      </w:r>
      <w:hyperlink r:id="rId20">
        <w:r>
          <w:rPr>
            <w:lang w:val="pt_PT" w:bidi="pt_PT"/>
          </w:rPr>
          <w:rPr>
            <w:color w:val="0000EE"/>
            <w:u w:val="single"/>
          </w:rPr>
          <w:t>1 Reis 14:25–26</w:t>
        </w:r>
      </w:hyperlink>
      <w:r>
        <w:rPr>
          <w:lang w:val="pt_PT" w:bidi="pt_PT"/>
        </w:rP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pPr/>
      <w:r>
        <w:rPr>
          <w:lang w:val="pt_PT" w:bidi="pt_PT"/>
        </w:rPr>
      </w:r>
      <w:r>
        <w:rPr>
          <w:lang w:val="pt_PT" w:bidi="pt_PT"/>
        </w:rPr>
        <w:t>Um segundo indicador cronológico para a data do Êxodo é o “novo rei” que “não sabia nada sobre José” (</w:t>
      </w:r>
      <w:hyperlink r:id="rId21">
        <w:r>
          <w:rPr>
            <w:lang w:val="pt_PT" w:bidi="pt_PT"/>
          </w:rPr>
          <w:rPr>
            <w:color w:val="0000EE"/>
            <w:u w:val="single"/>
          </w:rPr>
          <w:t>Êxodo 1:8</w:t>
        </w:r>
      </w:hyperlink>
      <w:r>
        <w:rPr>
          <w:lang w:val="pt_PT" w:bidi="pt_PT"/>
        </w:rP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hyperlink r:id="rId22">
        <w:r>
          <w:rPr>
            <w:lang w:val="pt_PT" w:bidi="pt_PT"/>
          </w:rPr>
          <w:rPr>
            <w:color w:val="0000EE"/>
            <w:u w:val="single"/>
          </w:rPr>
          <w:t>Gn 39</w:t>
        </w:r>
      </w:hyperlink>
      <w:r>
        <w:rPr>
          <w:lang w:val="pt_PT" w:bidi="pt_PT"/>
        </w:rPr>
        <w:t xml:space="preserve">; </w:t>
      </w:r>
      <w:hyperlink r:id="rId23">
        <w:r>
          <w:rPr>
            <w:lang w:val="pt_PT" w:bidi="pt_PT"/>
          </w:rPr>
          <w:rPr>
            <w:color w:val="0000EE"/>
            <w:u w:val="single"/>
          </w:rPr>
          <w:t>46</w:t>
        </w:r>
      </w:hyperlink>
      <w:r>
        <w:rPr>
          <w:lang w:val="pt_PT" w:bidi="pt_PT"/>
        </w:rPr>
        <w:t xml:space="preserve">) pouco antes ou durante o período dos hicsos. Os hicsos governaram até 1540 a.C., quando o faraó Ahmose (1550–1525 a.C.) os expulsou. Ahmose e os faraós que o seguiram eram provavelmente a dinastia descrita por </w:t>
      </w:r>
      <w:hyperlink r:id="rId21">
        <w:r>
          <w:rPr>
            <w:lang w:val="pt_PT" w:bidi="pt_PT"/>
          </w:rPr>
          <w:rPr>
            <w:color w:val="0000EE"/>
            <w:u w:val="single"/>
          </w:rPr>
          <w:t>Êxodo 1:8</w:t>
        </w:r>
      </w:hyperlink>
      <w:r>
        <w:rPr>
          <w:lang w:val="pt_PT" w:bidi="pt_PT"/>
        </w:rPr>
        <w:t>.</w:t>
      </w:r>
    </w:p>
    <w:p>
      <w:pPr/>
      <w:r>
        <w:rPr>
          <w:lang w:val="pt_PT" w:bidi="pt_PT"/>
        </w:rPr>
      </w:r>
      <w:r>
        <w:rPr>
          <w:lang w:val="pt_PT" w:bidi="pt_PT"/>
        </w:rPr>
        <w:t>Um terceiro indicador cronológico é a Estela de Merneptá, um monumento egípcio datado de cerca de 1209 a.C., que menciona um confronto com os israelitas na parte sul da Palestina. Esta é a primeira menção clara de Israel fora da Bíblia.</w:t>
      </w:r>
    </w:p>
    <w:p>
      <w:pPr/>
      <w:r>
        <w:rPr>
          <w:lang w:val="pt_PT" w:bidi="pt_PT"/>
        </w:rPr>
      </w:r>
      <w:r>
        <w:rPr>
          <w:lang w:val="pt_PT" w:bidi="pt_PT"/>
        </w:rPr>
        <w:t>Esta evidência aponta para dois possíveis cenários para a data do Êxodo — uma data anterior por volta de 1446 a.C. e uma data posterior por volta de 1270 a.C.</w:t>
      </w:r>
    </w:p>
    <w:p>
      <w:pPr/>
      <w:r>
        <w:rPr>
          <w:lang w:val="pt_PT" w:bidi="pt_PT"/>
        </w:rPr>
      </w:r>
      <w:r>
        <w:rPr>
          <w:lang w:val="pt_PT" w:bidi="pt_PT"/>
        </w:rPr>
        <w:t xml:space="preserve">Êxodo anterior (em torno de 1446 a.C.) O cenário tradicional coloca a data do Êxodo por volta de 1446 a.C. De acordo com </w:t>
      </w:r>
      <w:hyperlink r:id="rId24">
        <w:r>
          <w:rPr>
            <w:lang w:val="pt_PT" w:bidi="pt_PT"/>
          </w:rPr>
          <w:rPr>
            <w:color w:val="0000EE"/>
            <w:u w:val="single"/>
          </w:rPr>
          <w:t>1 Reis 6:1</w:t>
        </w:r>
      </w:hyperlink>
      <w:r>
        <w:rPr>
          <w:lang w:val="pt_PT" w:bidi="pt_PT"/>
        </w:rP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hyperlink r:id="rId25">
        <w:r>
          <w:rPr>
            <w:lang w:val="pt_PT" w:bidi="pt_PT"/>
          </w:rPr>
          <w:rPr>
            <w:color w:val="0000EE"/>
            <w:u w:val="single"/>
          </w:rPr>
          <w:t>Jz 11:26</w:t>
        </w:r>
      </w:hyperlink>
      <w:r>
        <w:rPr>
          <w:lang w:val="pt_PT" w:bidi="pt_PT"/>
        </w:rPr>
        <w:t xml:space="preserve">; cp. </w:t>
      </w:r>
      <w:hyperlink r:id="rId26">
        <w:r>
          <w:rPr>
            <w:lang w:val="pt_PT" w:bidi="pt_PT"/>
          </w:rPr>
          <w:rPr>
            <w:color w:val="0000EE"/>
            <w:u w:val="single"/>
          </w:rPr>
          <w:t>Nm 21:21–35</w:t>
        </w:r>
      </w:hyperlink>
      <w:r>
        <w:rPr>
          <w:lang w:val="pt_PT" w:bidi="pt_PT"/>
        </w:rPr>
        <w:t>). A data anterior parece se encaixar melhor com a própria informação cronológica da Bíblia. Uma data próxima a 1446 a.C., portanto, tem sido aceita há muito tempo.</w:t>
      </w:r>
    </w:p>
    <w:p>
      <w:pPr/>
      <w:r>
        <w:rPr>
          <w:lang w:val="pt_PT" w:bidi="pt_PT"/>
        </w:rPr>
      </w:r>
      <w:r>
        <w:rPr>
          <w:lang w:val="pt_PT" w:bidi="pt_PT"/>
        </w:rPr>
        <w:t>O cenário do Êxodo posterior coloca o Êxodo do Egito aproximadamente 300 anos antes da dedicação do templo de Salomão em 967 a.C., no início do reinado do faraó Ramsés II (1279–1213 a.C.). A cidade de Ramsés, que os israelitas ajudaram a construir (</w:t>
      </w:r>
      <w:hyperlink r:id="rId27">
        <w:r>
          <w:rPr>
            <w:lang w:val="pt_PT" w:bidi="pt_PT"/>
          </w:rPr>
          <w:rPr>
            <w:color w:val="0000EE"/>
            <w:u w:val="single"/>
          </w:rPr>
          <w:t>Êxodo 1:11</w:t>
        </w:r>
      </w:hyperlink>
      <w:r>
        <w:rPr>
          <w:lang w:val="pt_PT" w:bidi="pt_PT"/>
        </w:rP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hyperlink r:id="rId24">
        <w:r>
          <w:rPr>
            <w:lang w:val="pt_PT" w:bidi="pt_PT"/>
          </w:rPr>
          <w:rPr>
            <w:color w:val="0000EE"/>
            <w:u w:val="single"/>
          </w:rPr>
          <w:t>1 Reis 6:1</w:t>
        </w:r>
      </w:hyperlink>
      <w:r>
        <w:rPr>
          <w:lang w:val="pt_PT" w:bidi="pt_PT"/>
        </w:rP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2"/>
      </w:pPr>
      <w:r>
        <w:rPr>
          <w:lang w:val="pt_PT" w:bidi="pt_PT"/>
        </w:rPr>
        <w:t>Datas para os patriarcas</w:t>
      </w:r>
    </w:p>
    <w:p>
      <w:pPr/>
      <w:r>
        <w:rPr>
          <w:lang w:val="pt_PT" w:bidi="pt_PT"/>
        </w:rPr>
      </w:r>
      <w:r>
        <w:rPr>
          <w:lang w:val="pt_PT" w:bidi="pt_PT"/>
        </w:rP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pPr/>
      <w:r>
        <w:rPr>
          <w:lang w:val="pt_PT" w:bidi="pt_PT"/>
        </w:rPr>
      </w:r>
      <w:r>
        <w:rPr>
          <w:lang w:val="pt_PT" w:bidi="pt_PT"/>
        </w:rPr>
        <w:t xml:space="preserve">A data do Êxodo é, portanto, uma chave para se calcular as datas para os patriarcas. As estimativas também levam em conta o tempo de vida de cada patriarca; as notações cronológicas em </w:t>
      </w:r>
      <w:hyperlink r:id="rId28">
        <w:r>
          <w:rPr>
            <w:lang w:val="pt_PT" w:bidi="pt_PT"/>
          </w:rPr>
          <w:rPr>
            <w:color w:val="0000EE"/>
            <w:u w:val="single"/>
          </w:rPr>
          <w:t>Gn 12:4</w:t>
        </w:r>
      </w:hyperlink>
      <w:r>
        <w:rPr>
          <w:lang w:val="pt_PT" w:bidi="pt_PT"/>
        </w:rPr>
        <w:t xml:space="preserve">; </w:t>
      </w:r>
      <w:hyperlink r:id="rId29">
        <w:r>
          <w:rPr>
            <w:lang w:val="pt_PT" w:bidi="pt_PT"/>
          </w:rPr>
          <w:rPr>
            <w:color w:val="0000EE"/>
            <w:u w:val="single"/>
          </w:rPr>
          <w:t>21:5</w:t>
        </w:r>
      </w:hyperlink>
      <w:r>
        <w:rPr>
          <w:lang w:val="pt_PT" w:bidi="pt_PT"/>
        </w:rPr>
        <w:t xml:space="preserve">; </w:t>
      </w:r>
      <w:hyperlink r:id="rId30">
        <w:r>
          <w:rPr>
            <w:lang w:val="pt_PT" w:bidi="pt_PT"/>
          </w:rPr>
          <w:rPr>
            <w:color w:val="0000EE"/>
            <w:u w:val="single"/>
          </w:rPr>
          <w:t>25:26</w:t>
        </w:r>
      </w:hyperlink>
      <w:r>
        <w:rPr>
          <w:lang w:val="pt_PT" w:bidi="pt_PT"/>
        </w:rPr>
        <w:t xml:space="preserve">; </w:t>
      </w:r>
      <w:hyperlink r:id="rId31">
        <w:r>
          <w:rPr>
            <w:lang w:val="pt_PT" w:bidi="pt_PT"/>
          </w:rPr>
          <w:rPr>
            <w:color w:val="0000EE"/>
            <w:u w:val="single"/>
          </w:rPr>
          <w:t>47:9</w:t>
        </w:r>
      </w:hyperlink>
      <w:r>
        <w:rPr>
          <w:lang w:val="pt_PT" w:bidi="pt_PT"/>
        </w:rPr>
        <w:t xml:space="preserve"> sugerem que os patriarcas passaram 215 anos em Canaã.</w:t>
      </w:r>
    </w:p>
    <w:p>
      <w:pPr/>
      <w:r>
        <w:rPr>
          <w:lang w:val="pt_PT" w:bidi="pt_PT"/>
        </w:rPr>
      </w:r>
      <w:r>
        <w:rPr>
          <w:lang w:val="pt_PT" w:bidi="pt_PT"/>
        </w:rPr>
        <w:t xml:space="preserve">A duração da estadia de Israel no Egito é um fator adicional, e aqui há uma diferença nos textos. O Texto Massorético (MT) hebraico para </w:t>
      </w:r>
      <w:hyperlink r:id="rId32">
        <w:r>
          <w:rPr>
            <w:lang w:val="pt_PT" w:bidi="pt_PT"/>
          </w:rPr>
          <w:rPr>
            <w:color w:val="0000EE"/>
            <w:u w:val="single"/>
          </w:rPr>
          <w:t>Êxodo 12:40</w:t>
        </w:r>
      </w:hyperlink>
      <w:r>
        <w:rPr>
          <w:lang w:val="pt_PT" w:bidi="pt_PT"/>
        </w:rP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hyperlink r:id="rId32">
        <w:r>
          <w:rPr>
            <w:lang w:val="pt_PT" w:bidi="pt_PT"/>
          </w:rPr>
          <w:rPr>
            <w:color w:val="0000EE"/>
            <w:u w:val="single"/>
          </w:rPr>
          <w:t>Êxodo 12:40</w:t>
        </w:r>
      </w:hyperlink>
      <w:r>
        <w:rPr>
          <w:lang w:val="pt_PT" w:bidi="pt_PT"/>
        </w:rPr>
        <w:t xml:space="preserve"> inclui o tempo que os israelitas passaram em Canaã e no Egito (uma cronologia que Paulo aparentemente seguiu; ver </w:t>
      </w:r>
      <w:hyperlink r:id="rId33">
        <w:r>
          <w:rPr>
            <w:lang w:val="pt_PT" w:bidi="pt_PT"/>
          </w:rPr>
          <w:rPr>
            <w:color w:val="0000EE"/>
            <w:u w:val="single"/>
          </w:rPr>
          <w:t>Gl 3:17</w:t>
        </w:r>
      </w:hyperlink>
      <w:r>
        <w:rPr>
          <w:lang w:val="pt_PT" w:bidi="pt_PT"/>
        </w:rPr>
        <w:t>). Esta cronologia reduziria o tempo gasto no Egito para 215 anos. Várias afirmações bíblicas de que Israel estava no Egito por 400 anos ou quatro gerações (</w:t>
      </w:r>
      <w:hyperlink r:id="rId34">
        <w:r>
          <w:rPr>
            <w:lang w:val="pt_PT" w:bidi="pt_PT"/>
          </w:rPr>
          <w:rPr>
            <w:color w:val="0000EE"/>
            <w:u w:val="single"/>
          </w:rPr>
          <w:t>Gn 15:13–16</w:t>
        </w:r>
      </w:hyperlink>
      <w:r>
        <w:rPr>
          <w:lang w:val="pt_PT" w:bidi="pt_PT"/>
        </w:rPr>
        <w:t xml:space="preserve">; cp. </w:t>
      </w:r>
      <w:hyperlink r:id="rId35">
        <w:r>
          <w:rPr>
            <w:lang w:val="pt_PT" w:bidi="pt_PT"/>
          </w:rPr>
          <w:rPr>
            <w:color w:val="0000EE"/>
            <w:u w:val="single"/>
          </w:rPr>
          <w:t>Êx 6:16–20</w:t>
        </w:r>
      </w:hyperlink>
      <w:r>
        <w:rPr>
          <w:lang w:val="pt_PT" w:bidi="pt_PT"/>
        </w:rPr>
        <w:t xml:space="preserve">; </w:t>
      </w:r>
      <w:hyperlink r:id="rId36">
        <w:r>
          <w:rPr>
            <w:lang w:val="pt_PT" w:bidi="pt_PT"/>
          </w:rPr>
          <w:rPr>
            <w:color w:val="0000EE"/>
            <w:u w:val="single"/>
          </w:rPr>
          <w:t>Nm 3:17–19</w:t>
        </w:r>
      </w:hyperlink>
      <w:r>
        <w:rPr>
          <w:lang w:val="pt_PT" w:bidi="pt_PT"/>
        </w:rPr>
        <w:t xml:space="preserve">; </w:t>
      </w:r>
      <w:hyperlink r:id="rId37">
        <w:r>
          <w:rPr>
            <w:lang w:val="pt_PT" w:bidi="pt_PT"/>
          </w:rPr>
          <w:rPr>
            <w:color w:val="0000EE"/>
            <w:u w:val="single"/>
          </w:rPr>
          <w:t>26:58–59</w:t>
        </w:r>
      </w:hyperlink>
      <w:r>
        <w:rPr>
          <w:lang w:val="pt_PT" w:bidi="pt_PT"/>
        </w:rPr>
        <w:t xml:space="preserve">; </w:t>
      </w:r>
      <w:hyperlink r:id="rId38">
        <w:r>
          <w:rPr>
            <w:lang w:val="pt_PT" w:bidi="pt_PT"/>
          </w:rPr>
          <w:rPr>
            <w:color w:val="0000EE"/>
            <w:u w:val="single"/>
          </w:rPr>
          <w:t>1Cr 6:1–3</w:t>
        </w:r>
      </w:hyperlink>
      <w:r>
        <w:rPr>
          <w:lang w:val="pt_PT" w:bidi="pt_PT"/>
        </w:rPr>
        <w:t xml:space="preserve">; </w:t>
      </w:r>
      <w:hyperlink r:id="rId39">
        <w:r>
          <w:rPr>
            <w:lang w:val="pt_PT" w:bidi="pt_PT"/>
          </w:rPr>
          <w:rPr>
            <w:color w:val="0000EE"/>
            <w:u w:val="single"/>
          </w:rPr>
          <w:t>Atos 7:6</w:t>
        </w:r>
      </w:hyperlink>
      <w:r>
        <w:rPr>
          <w:lang w:val="pt_PT" w:bidi="pt_PT"/>
        </w:rPr>
        <w:t>) poderia apoiar a leitura do texto hebraico ou do grego.</w:t>
      </w:r>
    </w:p>
    <w:p>
      <w:pPr/>
      <w:r>
        <w:rPr>
          <w:lang w:val="pt_PT" w:bidi="pt_PT"/>
        </w:rPr>
      </w:r>
      <w:r>
        <w:rPr>
          <w:lang w:val="pt_PT" w:bidi="pt_PT"/>
        </w:rP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2"/>
      </w:pPr>
      <w:r>
        <w:rPr>
          <w:lang w:val="pt_PT" w:bidi="pt_PT"/>
        </w:rPr>
        <w:t>Significado e mensagem</w:t>
      </w:r>
    </w:p>
    <w:p>
      <w:pPr/>
      <w:r>
        <w:rPr>
          <w:lang w:val="pt_PT" w:bidi="pt_PT"/>
        </w:rPr>
      </w:r>
      <w:r>
        <w:rPr>
          <w:lang w:val="pt_PT" w:bidi="pt_PT"/>
        </w:rPr>
        <w:t>Os capítulos de abertura de Gênesis descrevem um problema sério: Deus fez o mundo e os seres humanos para bênção (</w:t>
      </w:r>
      <w:hyperlink r:id="rId40">
        <w:r>
          <w:rPr>
            <w:lang w:val="pt_PT" w:bidi="pt_PT"/>
          </w:rPr>
          <w:rPr>
            <w:color w:val="0000EE"/>
            <w:u w:val="single"/>
          </w:rPr>
          <w:t>Gn 1:27–28</w:t>
        </w:r>
      </w:hyperlink>
      <w:r>
        <w:rPr>
          <w:lang w:val="pt_PT" w:bidi="pt_PT"/>
        </w:rPr>
        <w:t>), mas o mundo caiu sob uma maldição. A humanidade havia se tornada profundamente corrompida (</w:t>
      </w:r>
      <w:hyperlink r:id="rId41">
        <w:r>
          <w:rPr>
            <w:lang w:val="pt_PT" w:bidi="pt_PT"/>
          </w:rPr>
          <w:rPr>
            <w:color w:val="0000EE"/>
            <w:u w:val="single"/>
          </w:rPr>
          <w:t>Gn 6:5</w:t>
        </w:r>
      </w:hyperlink>
      <w:r>
        <w:rPr>
          <w:lang w:val="pt_PT" w:bidi="pt_PT"/>
        </w:rPr>
        <w:t>), alienada de seu Criador (</w:t>
      </w:r>
      <w:hyperlink r:id="rId42">
        <w:r>
          <w:rPr>
            <w:lang w:val="pt_PT" w:bidi="pt_PT"/>
          </w:rPr>
          <w:rPr>
            <w:color w:val="0000EE"/>
            <w:u w:val="single"/>
          </w:rPr>
          <w:t>Gn 3:23–24</w:t>
        </w:r>
      </w:hyperlink>
      <w:r>
        <w:rPr>
          <w:lang w:val="pt_PT" w:bidi="pt_PT"/>
        </w:rPr>
        <w:t>) e de uns aos outros (</w:t>
      </w:r>
      <w:hyperlink r:id="rId43">
        <w:r>
          <w:rPr>
            <w:lang w:val="pt_PT" w:bidi="pt_PT"/>
          </w:rPr>
          <w:rPr>
            <w:color w:val="0000EE"/>
            <w:u w:val="single"/>
          </w:rPr>
          <w:t>Gn 4:14</w:t>
        </w:r>
      </w:hyperlink>
      <w:r>
        <w:rPr>
          <w:lang w:val="pt_PT" w:bidi="pt_PT"/>
        </w:rPr>
        <w:t>). Morte, violência e confusão eram desenfreadas (</w:t>
      </w:r>
      <w:hyperlink r:id="rId44">
        <w:r>
          <w:rPr>
            <w:lang w:val="pt_PT" w:bidi="pt_PT"/>
          </w:rPr>
          <w:rPr>
            <w:color w:val="0000EE"/>
            <w:u w:val="single"/>
          </w:rPr>
          <w:t>Gn 4:8</w:t>
        </w:r>
      </w:hyperlink>
      <w:r>
        <w:rPr>
          <w:lang w:val="pt_PT" w:bidi="pt_PT"/>
        </w:rPr>
        <w:t xml:space="preserve">, </w:t>
      </w:r>
      <w:hyperlink r:id="rId45">
        <w:r>
          <w:rPr>
            <w:lang w:val="pt_PT" w:bidi="pt_PT"/>
          </w:rPr>
          <w:rPr>
            <w:color w:val="0000EE"/>
            <w:u w:val="single"/>
          </w:rPr>
          <w:t>23–24</w:t>
        </w:r>
      </w:hyperlink>
      <w:r>
        <w:rPr>
          <w:lang w:val="pt_PT" w:bidi="pt_PT"/>
        </w:rPr>
        <w:t xml:space="preserve">; </w:t>
      </w:r>
      <w:hyperlink r:id="rId46">
        <w:r>
          <w:rPr>
            <w:lang w:val="pt_PT" w:bidi="pt_PT"/>
          </w:rPr>
          <w:rPr>
            <w:color w:val="0000EE"/>
            <w:u w:val="single"/>
          </w:rPr>
          <w:t>11:9</w:t>
        </w:r>
      </w:hyperlink>
      <w:r>
        <w:rPr>
          <w:lang w:val="pt_PT" w:bidi="pt_PT"/>
        </w:rPr>
        <w:t>). Havia um caminho de volta para a bênção que Deus originalmente planejou?</w:t>
      </w:r>
    </w:p>
    <w:p>
      <w:pPr/>
      <w:r>
        <w:rPr>
          <w:lang w:val="pt_PT" w:bidi="pt_PT"/>
        </w:rPr>
      </w:r>
      <w:r>
        <w:rPr>
          <w:lang w:val="pt_PT" w:bidi="pt_PT"/>
        </w:rPr>
        <w:t xml:space="preserve">Em </w:t>
      </w:r>
      <w:hyperlink r:id="rId47">
        <w:r>
          <w:rPr>
            <w:lang w:val="pt_PT" w:bidi="pt_PT"/>
          </w:rPr>
          <w:rPr>
            <w:color w:val="0000EE"/>
            <w:u w:val="single"/>
          </w:rPr>
          <w:t>Gn 12–50</w:t>
        </w:r>
      </w:hyperlink>
      <w:r>
        <w:rPr>
          <w:lang w:val="pt_PT" w:bidi="pt_PT"/>
        </w:rPr>
        <w:t>, o plano de Deus para restaurar o mundo começa a se desdobrar. Deus escolheu Abraão e seus descendentes para estarem em um relacionamento de aliança especial com ele, prometendo torná-los em uma nação próspera, através da qual o mundo inteiro seria abençoado (</w:t>
      </w:r>
      <w:hyperlink r:id="rId48">
        <w:r>
          <w:rPr>
            <w:lang w:val="pt_PT" w:bidi="pt_PT"/>
          </w:rPr>
          <w:rPr>
            <w:color w:val="0000EE"/>
            <w:u w:val="single"/>
          </w:rPr>
          <w:t>Gn 12:1–3</w:t>
        </w:r>
      </w:hyperlink>
      <w:r>
        <w:rPr>
          <w:lang w:val="pt_PT" w:bidi="pt_PT"/>
        </w:rPr>
        <w:t>). Abraão acreditava em Deus, apesar do fato de que sua esposa parecia irremediavelmente estéril (</w:t>
      </w:r>
      <w:hyperlink r:id="rId49">
        <w:r>
          <w:rPr>
            <w:lang w:val="pt_PT" w:bidi="pt_PT"/>
          </w:rPr>
          <w:rPr>
            <w:color w:val="0000EE"/>
            <w:u w:val="single"/>
          </w:rPr>
          <w:t>Gn 15:6</w:t>
        </w:r>
      </w:hyperlink>
      <w:r>
        <w:rPr>
          <w:lang w:val="pt_PT" w:bidi="pt_PT"/>
        </w:rPr>
        <w:t>), e Deus logo começou a realizar suas promessas (</w:t>
      </w:r>
      <w:hyperlink r:id="rId50">
        <w:r>
          <w:rPr>
            <w:lang w:val="pt_PT" w:bidi="pt_PT"/>
          </w:rPr>
          <w:rPr>
            <w:color w:val="0000EE"/>
            <w:u w:val="single"/>
          </w:rPr>
          <w:t>Gn 21:1–7</w:t>
        </w:r>
      </w:hyperlink>
      <w:r>
        <w:rPr>
          <w:lang w:val="pt_PT" w:bidi="pt_PT"/>
        </w:rPr>
        <w:t>).</w:t>
      </w:r>
    </w:p>
    <w:p>
      <w:pPr/>
      <w:r>
        <w:rPr>
          <w:lang w:val="pt_PT" w:bidi="pt_PT"/>
        </w:rPr>
      </w:r>
      <w:r>
        <w:rPr>
          <w:lang w:val="pt_PT" w:bidi="pt_PT"/>
        </w:rP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hyperlink r:id="rId51">
        <w:r>
          <w:rPr>
            <w:lang w:val="pt_PT" w:bidi="pt_PT"/>
          </w:rPr>
          <w:rPr>
            <w:color w:val="0000EE"/>
            <w:u w:val="single"/>
          </w:rPr>
          <w:t>Gn 23</w:t>
        </w:r>
      </w:hyperlink>
      <w:r>
        <w:rPr>
          <w:lang w:val="pt_PT" w:bidi="pt_PT"/>
        </w:rP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pPr/>
      <w:r>
        <w:rPr>
          <w:lang w:val="pt_PT" w:bidi="pt_PT"/>
        </w:rPr>
      </w:r>
      <w:r>
        <w:rPr>
          <w:lang w:val="pt_PT" w:bidi="pt_PT"/>
        </w:rPr>
        <w:t>Ao responder a essas perguntas, Êxodo nos leva bem adiante no caminho para entender quem Deus é. Deus realmente conhece nossa situação e ele nos valoriza. O Senhor está em uma categoria completamente diferente de “todos os outros deuses” (</w:t>
      </w:r>
      <w:hyperlink r:id="rId52">
        <w:r>
          <w:rPr>
            <w:lang w:val="pt_PT" w:bidi="pt_PT"/>
          </w:rPr>
          <w:rPr>
            <w:color w:val="0000EE"/>
            <w:u w:val="single"/>
          </w:rPr>
          <w:t>18:11</w:t>
        </w:r>
      </w:hyperlink>
      <w:r>
        <w:rPr>
          <w:lang w:val="pt_PT" w:bidi="pt_PT"/>
        </w:rPr>
        <w:t>). Ele é revelado em Êxodo como o maior ser existente (</w:t>
      </w:r>
      <w:hyperlink r:id="rId53">
        <w:r>
          <w:rPr>
            <w:lang w:val="pt_PT" w:bidi="pt_PT"/>
          </w:rPr>
          <w:rPr>
            <w:color w:val="0000EE"/>
            <w:u w:val="single"/>
          </w:rPr>
          <w:t>3:5–6</w:t>
        </w:r>
      </w:hyperlink>
      <w:r>
        <w:rPr>
          <w:lang w:val="pt_PT" w:bidi="pt_PT"/>
        </w:rPr>
        <w:t xml:space="preserve">, </w:t>
      </w:r>
      <w:hyperlink r:id="rId54">
        <w:r>
          <w:rPr>
            <w:lang w:val="pt_PT" w:bidi="pt_PT"/>
          </w:rPr>
          <w:rPr>
            <w:color w:val="0000EE"/>
            <w:u w:val="single"/>
          </w:rPr>
          <w:t>14–15</w:t>
        </w:r>
      </w:hyperlink>
      <w:r>
        <w:rPr>
          <w:lang w:val="pt_PT" w:bidi="pt_PT"/>
        </w:rPr>
        <w:t xml:space="preserve">; </w:t>
      </w:r>
      <w:hyperlink r:id="rId55">
        <w:r>
          <w:rPr>
            <w:lang w:val="pt_PT" w:bidi="pt_PT"/>
          </w:rPr>
          <w:rPr>
            <w:color w:val="0000EE"/>
            <w:u w:val="single"/>
          </w:rPr>
          <w:t>6:3</w:t>
        </w:r>
      </w:hyperlink>
      <w:r>
        <w:rPr>
          <w:lang w:val="pt_PT" w:bidi="pt_PT"/>
        </w:rPr>
        <w:t>), superior tanto aos reis humanos que se consideram deuses quanto a todas as forças da natureza. Ele é o único Deus verdadeiro.</w:t>
      </w:r>
    </w:p>
    <w:p>
      <w:pPr/>
      <w:r>
        <w:rPr>
          <w:lang w:val="pt_PT" w:bidi="pt_PT"/>
        </w:rPr>
      </w:r>
      <w:r>
        <w:rPr>
          <w:lang w:val="pt_PT" w:bidi="pt_PT"/>
        </w:rP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hyperlink r:id="rId56">
        <w:r>
          <w:rPr>
            <w:lang w:val="pt_PT" w:bidi="pt_PT"/>
          </w:rPr>
          <w:rPr>
            <w:color w:val="0000EE"/>
            <w:u w:val="single"/>
          </w:rPr>
          <w:t>34:5–6</w:t>
        </w:r>
      </w:hyperlink>
      <w:r>
        <w:rPr>
          <w:lang w:val="pt_PT" w:bidi="pt_PT"/>
        </w:rPr>
        <w:t>).</w:t>
      </w:r>
    </w:p>
    <w:p>
      <w:pPr/>
      <w:r>
        <w:rPr>
          <w:lang w:val="pt_PT" w:bidi="pt_PT"/>
        </w:rPr>
      </w:r>
      <w:r>
        <w:rPr>
          <w:lang w:val="pt_PT" w:bidi="pt_PT"/>
        </w:rPr>
        <w:t>Deus usou uma aliança (</w:t>
      </w:r>
      <w:hyperlink r:id="rId57">
        <w:r>
          <w:rPr>
            <w:lang w:val="pt_PT" w:bidi="pt_PT"/>
          </w:rPr>
          <w:rPr>
            <w:color w:val="0000EE"/>
            <w:u w:val="single"/>
          </w:rPr>
          <w:t>Êxodo 19–23</w:t>
        </w:r>
      </w:hyperlink>
      <w:r>
        <w:rPr>
          <w:lang w:val="pt_PT" w:bidi="pt_PT"/>
        </w:rP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hyperlink r:id="rId58">
        <w:r>
          <w:rPr>
            <w:lang w:val="pt_PT" w:bidi="pt_PT"/>
          </w:rPr>
          <w:rPr>
            <w:color w:val="0000EE"/>
            <w:u w:val="single"/>
          </w:rPr>
          <w:t>20:3–17</w:t>
        </w:r>
      </w:hyperlink>
      <w:r>
        <w:rPr>
          <w:lang w:val="pt_PT" w:bidi="pt_PT"/>
        </w:rPr>
        <w:t>). Aqueles que estão em um relacionamento de aliança com Deus devem tratar uns aos outros com ética.</w:t>
      </w:r>
    </w:p>
    <w:p>
      <w:pPr/>
      <w:r>
        <w:rPr>
          <w:lang w:val="pt_PT" w:bidi="pt_PT"/>
        </w:rPr>
      </w:r>
      <w:r>
        <w:rPr>
          <w:lang w:val="pt_PT" w:bidi="pt_PT"/>
        </w:rPr>
        <w:t>Deus resgata seu povo e nos chama para uma vida de santidade, a fim de que possamos ter um relacionamento vivo e pessoal com ele. Os capítulos do Tabernáculo (</w:t>
      </w:r>
      <w:hyperlink r:id="rId18">
        <w:r>
          <w:rPr>
            <w:lang w:val="pt_PT" w:bidi="pt_PT"/>
          </w:rPr>
          <w:rPr>
            <w:color w:val="0000EE"/>
            <w:u w:val="single"/>
          </w:rPr>
          <w:t>25–40</w:t>
        </w:r>
      </w:hyperlink>
      <w:r>
        <w:rPr>
          <w:lang w:val="pt_PT" w:bidi="pt_PT"/>
        </w:rPr>
        <w:t>) não são um complemento; eles são o assunto central de Êxodo. Sim, Deus manteria sua promessa de levar as pessoas para a Terra Prometida, mas seu objetivo era que eles vivessem em sua presença sem serem destruídos por sua santidade, e isso é o que aconteceu (</w:t>
      </w:r>
      <w:hyperlink r:id="rId59">
        <w:r>
          <w:rPr>
            <w:lang w:val="pt_PT" w:bidi="pt_PT"/>
          </w:rPr>
          <w:rPr>
            <w:color w:val="0000EE"/>
            <w:u w:val="single"/>
          </w:rPr>
          <w:t>40:34–38</w:t>
        </w:r>
      </w:hyperlink>
      <w:r>
        <w:rPr>
          <w:lang w:val="pt_PT" w:bidi="pt_PT"/>
        </w:rPr>
        <w:t>). A salvação não é apenas o perdão dos pecados. O objetivo de Deus para nós é que, tendo sido resgatados da escravidão do pecado, possamos viver diariamente na glória de sua presença e manifestar seu caráter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