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lang w:val="pt_PT" w:bidi="pt_PT"/>
        </w:rP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2"/>
      </w:pPr>
      <w:r>
        <w:rPr>
          <w:lang w:val="pt_PT" w:bidi="pt_PT"/>
        </w:rPr>
        <w:t>Sumário</w:t>
      </w:r>
    </w:p>
    <w:p>
      <w:pPr/>
      <w:r>
        <w:rPr>
          <w:lang w:val="pt_PT" w:bidi="pt_PT"/>
        </w:rPr>
      </w:r>
      <w:r>
        <w:rPr>
          <w:lang w:val="pt_PT" w:bidi="pt_PT"/>
        </w:rPr>
        <w:t xml:space="preserve">Os salmos, como toda a Escritura, são inspirados e dados por Deus (veja </w:t>
      </w:r>
      <w:hyperlink r:id="rId15">
        <w:r>
          <w:rPr>
            <w:lang w:val="pt_PT" w:bidi="pt_PT"/>
          </w:rPr>
          <w:rPr>
            <w:color w:val="0000EE"/>
            <w:u w:val="single"/>
          </w:rPr>
          <w:t>2Tm 3.16</w:t>
        </w:r>
      </w:hyperlink>
      <w:r>
        <w:rPr>
          <w:lang w:val="pt_PT" w:bidi="pt_PT"/>
        </w:rP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pPr/>
      <w:r>
        <w:rPr>
          <w:lang w:val="pt_PT" w:bidi="pt_PT"/>
        </w:rPr>
      </w:r>
      <w:r>
        <w:rPr>
          <w:lang w:val="pt_PT" w:bidi="pt_PT"/>
        </w:rPr>
        <w:t xml:space="preserve">Os dois primeiros salmos servem como uma introdução a todo o Saltério (o livro dos Salmos). </w:t>
      </w:r>
      <w:hyperlink r:id="rId16">
        <w:r>
          <w:rPr>
            <w:lang w:val="pt_PT" w:bidi="pt_PT"/>
          </w:rPr>
          <w:rPr>
            <w:color w:val="0000EE"/>
            <w:u w:val="single"/>
          </w:rPr>
          <w:t>O Salmo 1</w:t>
        </w:r>
      </w:hyperlink>
      <w:r>
        <w:rPr>
          <w:lang w:val="pt_PT" w:bidi="pt_PT"/>
        </w:rPr>
        <w:t xml:space="preserve"> descreve uma pessoa piedosa que se deleita em Deus, vive segundo a instrução divina e não é influenciada por malfeitores. </w:t>
      </w:r>
      <w:hyperlink r:id="rId16">
        <w:r>
          <w:rPr>
            <w:lang w:val="pt_PT" w:bidi="pt_PT"/>
          </w:rPr>
          <w:rPr>
            <w:color w:val="0000EE"/>
            <w:u w:val="single"/>
          </w:rPr>
          <w:t>O Salmo 1</w:t>
        </w:r>
      </w:hyperlink>
      <w:r>
        <w:rPr>
          <w:lang w:val="pt_PT" w:bidi="pt_PT"/>
        </w:rPr>
        <w:t xml:space="preserve"> levanta três perguntas: (1) Existe perdão para os pecados? (2) Por que os piedosos sofrem? e (3) Por que os ímpios prosperam? O restante do Saltério reflete sobre essas questões.</w:t>
      </w:r>
    </w:p>
    <w:p>
      <w:pPr/>
      <w:r>
        <w:rPr>
          <w:lang w:val="pt_PT" w:bidi="pt_PT"/>
        </w:rPr>
      </w:r>
      <w:hyperlink r:id="rId17">
        <w:r>
          <w:rPr>
            <w:lang w:val="pt_PT" w:bidi="pt_PT"/>
          </w:rPr>
          <w:rPr>
            <w:color w:val="0000EE"/>
            <w:u w:val="single"/>
          </w:rPr>
          <w:t>Salmo 2</w:t>
        </w:r>
      </w:hyperlink>
      <w:r>
        <w:rPr>
          <w:lang w:val="pt_PT" w:bidi="pt_PT"/>
        </w:rPr>
        <w:t xml:space="preserve"> fala sobre como as nações e os ímpios estão em rebelião contra o governo de Deus. Deus julga os rebeldes e protege os piedosos. </w:t>
      </w:r>
      <w:hyperlink r:id="rId17">
        <w:r>
          <w:rPr>
            <w:lang w:val="pt_PT" w:bidi="pt_PT"/>
          </w:rPr>
          <w:rPr>
            <w:color w:val="0000EE"/>
            <w:u w:val="single"/>
          </w:rPr>
          <w:t>Salmo 2</w:t>
        </w:r>
      </w:hyperlink>
      <w:r>
        <w:rPr>
          <w:lang w:val="pt_PT" w:bidi="pt_PT"/>
        </w:rPr>
        <w:t xml:space="preserve"> levanta duas perguntas: (1) Por que as nações rebeldes e os ímpios prosperam? e (2) Por que os reis da linhagem de Davi não foram vitoriosos?</w:t>
      </w:r>
    </w:p>
    <w:p>
      <w:pPr/>
      <w:r>
        <w:rPr>
          <w:lang w:val="pt_PT" w:bidi="pt_PT"/>
        </w:rPr>
      </w:r>
      <w:r>
        <w:rPr>
          <w:lang w:val="pt_PT" w:bidi="pt_PT"/>
        </w:rP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2"/>
      </w:pPr>
      <w:r>
        <w:rPr>
          <w:lang w:val="pt_PT" w:bidi="pt_PT"/>
        </w:rPr>
        <w:t>A composição dos Salmos</w:t>
      </w:r>
    </w:p>
    <w:p>
      <w:pPr/>
      <w:r>
        <w:rPr>
          <w:lang w:val="pt_PT" w:bidi="pt_PT"/>
        </w:rPr>
      </w:r>
      <w:r>
        <w:rPr>
          <w:lang w:val="pt_PT" w:bidi="pt_PT"/>
        </w:rP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numPr>
          <w:ilvl w:val="0"/>
          <w:numId w:val="14"/>
        </w:numPr>
        <w:spacing w:line="240" w:lineRule="auto"/>
        <w:ind w:left="720"/>
      </w:pPr>
      <w:r>
        <w:rPr>
          <w:lang w:val="pt_PT" w:bidi="pt_PT"/>
        </w:rPr>
      </w:r>
      <w:r>
        <w:rPr>
          <w:lang w:val="pt_PT" w:bidi="pt_PT"/>
        </w:rPr>
        <w:t xml:space="preserve">Os editores colocaram </w:t>
      </w:r>
      <w:hyperlink r:id="rId16">
        <w:r>
          <w:rPr>
            <w:lang w:val="pt_PT" w:bidi="pt_PT"/>
          </w:rPr>
          <w:rPr>
            <w:color w:val="0000EE"/>
            <w:u w:val="single"/>
          </w:rPr>
          <w:t>Salmos 1</w:t>
        </w:r>
      </w:hyperlink>
      <w:r>
        <w:rPr>
          <w:lang w:val="pt_PT" w:bidi="pt_PT"/>
        </w:rPr>
        <w:t xml:space="preserve"> e </w:t>
      </w:r>
      <w:hyperlink r:id="rId17">
        <w:r>
          <w:rPr>
            <w:lang w:val="pt_PT" w:bidi="pt_PT"/>
          </w:rPr>
          <w:rPr>
            <w:color w:val="0000EE"/>
            <w:u w:val="single"/>
          </w:rPr>
          <w:t>2</w:t>
        </w:r>
      </w:hyperlink>
      <w:r>
        <w:rPr>
          <w:lang w:val="pt_PT" w:bidi="pt_PT"/>
        </w:rPr>
        <w:t xml:space="preserve"> como uma introdução ao livro inteiro de Salmos. Ambos os salmos apresentam retratos idealizados: </w:t>
      </w:r>
      <w:hyperlink r:id="rId16">
        <w:r>
          <w:rPr>
            <w:lang w:val="pt_PT" w:bidi="pt_PT"/>
          </w:rPr>
          <w:rPr>
            <w:color w:val="0000EE"/>
            <w:u w:val="single"/>
          </w:rPr>
          <w:t>Salmo 1</w:t>
        </w:r>
      </w:hyperlink>
      <w:r>
        <w:rPr>
          <w:lang w:val="pt_PT" w:bidi="pt_PT"/>
        </w:rPr>
        <w:t xml:space="preserve"> retrata a pessoa piedosa ideal que vive segundo as instruções de Deus. </w:t>
      </w:r>
      <w:hyperlink r:id="rId17">
        <w:r>
          <w:rPr>
            <w:lang w:val="pt_PT" w:bidi="pt_PT"/>
          </w:rPr>
          <w:rPr>
            <w:color w:val="0000EE"/>
            <w:u w:val="single"/>
          </w:rPr>
          <w:t>Salmo 2</w:t>
        </w:r>
      </w:hyperlink>
      <w:r>
        <w:rPr>
          <w:lang w:val="pt_PT" w:bidi="pt_PT"/>
        </w:rP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Pr>
          <w:lang w:val="pt_PT" w:bidi="pt_PT"/>
        </w:rPr>
      </w:r>
      <w:r>
        <w:rPr>
          <w:lang w:val="pt_PT" w:bidi="pt_PT"/>
        </w:rPr>
        <w:t>Salmos individuais foram reunidos em grupos. Os editores organizaram esses agrupamentos de salmos em cinco coleções: Livro Um (</w:t>
      </w:r>
      <w:hyperlink r:id="rId18">
        <w:r>
          <w:rPr>
            <w:lang w:val="pt_PT" w:bidi="pt_PT"/>
          </w:rPr>
          <w:rPr>
            <w:color w:val="0000EE"/>
            <w:u w:val="single"/>
          </w:rPr>
          <w:t>Sal 1–41</w:t>
        </w:r>
      </w:hyperlink>
      <w:r>
        <w:rPr>
          <w:lang w:val="pt_PT" w:bidi="pt_PT"/>
        </w:rPr>
        <w:t xml:space="preserve">, com uma doxologia em </w:t>
      </w:r>
      <w:hyperlink r:id="rId19">
        <w:r>
          <w:rPr>
            <w:lang w:val="pt_PT" w:bidi="pt_PT"/>
          </w:rPr>
          <w:rPr>
            <w:color w:val="0000EE"/>
            <w:u w:val="single"/>
          </w:rPr>
          <w:t>41.13</w:t>
        </w:r>
      </w:hyperlink>
      <w:r>
        <w:rPr>
          <w:lang w:val="pt_PT" w:bidi="pt_PT"/>
        </w:rPr>
        <w:t>), Livro Dois (</w:t>
      </w:r>
      <w:hyperlink r:id="rId20">
        <w:r>
          <w:rPr>
            <w:lang w:val="pt_PT" w:bidi="pt_PT"/>
          </w:rPr>
          <w:rPr>
            <w:color w:val="0000EE"/>
            <w:u w:val="single"/>
          </w:rPr>
          <w:t>Sl 42–72</w:t>
        </w:r>
      </w:hyperlink>
      <w:r>
        <w:rPr>
          <w:lang w:val="pt_PT" w:bidi="pt_PT"/>
        </w:rPr>
        <w:t xml:space="preserve">, com uma doxologia em </w:t>
      </w:r>
      <w:hyperlink r:id="rId21">
        <w:r>
          <w:rPr>
            <w:lang w:val="pt_PT" w:bidi="pt_PT"/>
          </w:rPr>
          <w:rPr>
            <w:color w:val="0000EE"/>
            <w:u w:val="single"/>
          </w:rPr>
          <w:t>72.19</w:t>
        </w:r>
      </w:hyperlink>
      <w:r>
        <w:rPr>
          <w:lang w:val="pt_PT" w:bidi="pt_PT"/>
        </w:rPr>
        <w:t>), Livro Três (</w:t>
      </w:r>
      <w:hyperlink r:id="rId22">
        <w:r>
          <w:rPr>
            <w:lang w:val="pt_PT" w:bidi="pt_PT"/>
          </w:rPr>
          <w:rPr>
            <w:color w:val="0000EE"/>
            <w:u w:val="single"/>
          </w:rPr>
          <w:t>Sl 73–89</w:t>
        </w:r>
      </w:hyperlink>
      <w:r>
        <w:rPr>
          <w:lang w:val="pt_PT" w:bidi="pt_PT"/>
        </w:rPr>
        <w:t xml:space="preserve">, com uma doxologia em </w:t>
      </w:r>
      <w:hyperlink r:id="rId23">
        <w:r>
          <w:rPr>
            <w:lang w:val="pt_PT" w:bidi="pt_PT"/>
          </w:rPr>
          <w:rPr>
            <w:color w:val="0000EE"/>
            <w:u w:val="single"/>
          </w:rPr>
          <w:t>89.52</w:t>
        </w:r>
      </w:hyperlink>
      <w:r>
        <w:rPr>
          <w:lang w:val="pt_PT" w:bidi="pt_PT"/>
        </w:rPr>
        <w:t>), Livro Quatro (</w:t>
      </w:r>
      <w:hyperlink r:id="rId24">
        <w:r>
          <w:rPr>
            <w:lang w:val="pt_PT" w:bidi="pt_PT"/>
          </w:rPr>
          <w:rPr>
            <w:color w:val="0000EE"/>
            <w:u w:val="single"/>
          </w:rPr>
          <w:t>Sl 90–106</w:t>
        </w:r>
      </w:hyperlink>
      <w:r>
        <w:rPr>
          <w:lang w:val="pt_PT" w:bidi="pt_PT"/>
        </w:rPr>
        <w:t xml:space="preserve">, com uma doxologia em </w:t>
      </w:r>
      <w:hyperlink r:id="rId25">
        <w:r>
          <w:rPr>
            <w:lang w:val="pt_PT" w:bidi="pt_PT"/>
          </w:rPr>
          <w:rPr>
            <w:color w:val="0000EE"/>
            <w:u w:val="single"/>
          </w:rPr>
          <w:t>106.48</w:t>
        </w:r>
      </w:hyperlink>
      <w:r>
        <w:rPr>
          <w:lang w:val="pt_PT" w:bidi="pt_PT"/>
        </w:rPr>
        <w:t>), e Livro Cinco (</w:t>
      </w:r>
      <w:hyperlink r:id="rId26">
        <w:r>
          <w:rPr>
            <w:lang w:val="pt_PT" w:bidi="pt_PT"/>
          </w:rPr>
          <w:rPr>
            <w:color w:val="0000EE"/>
            <w:u w:val="single"/>
          </w:rPr>
          <w:t>Sl 107–150</w:t>
        </w:r>
      </w:hyperlink>
      <w:r>
        <w:rPr>
          <w:lang w:val="pt_PT" w:bidi="pt_PT"/>
        </w:rPr>
        <w:t>, sem uma doxologia).</w:t>
      </w:r>
    </w:p>
    <w:p>
      <w:pPr>
        <w:pStyle w:val="ListNumber"/>
        <w:spacing w:line="240" w:lineRule="auto"/>
        <w:ind w:left="720"/>
      </w:pPr>
      <w:r>
        <w:rPr>
          <w:lang w:val="pt_PT" w:bidi="pt_PT"/>
        </w:rPr>
      </w:r>
      <w:r>
        <w:rPr>
          <w:lang w:val="pt_PT" w:bidi="pt_PT"/>
        </w:rPr>
        <w:t>Os Livros Um (</w:t>
      </w:r>
      <w:hyperlink r:id="rId18">
        <w:r>
          <w:rPr>
            <w:lang w:val="pt_PT" w:bidi="pt_PT"/>
          </w:rPr>
          <w:rPr>
            <w:color w:val="0000EE"/>
            <w:u w:val="single"/>
          </w:rPr>
          <w:t>Sl 1–41</w:t>
        </w:r>
      </w:hyperlink>
      <w:r>
        <w:rPr>
          <w:lang w:val="pt_PT" w:bidi="pt_PT"/>
        </w:rPr>
        <w:t>) e Dois (</w:t>
      </w:r>
      <w:hyperlink r:id="rId20">
        <w:r>
          <w:rPr>
            <w:lang w:val="pt_PT" w:bidi="pt_PT"/>
          </w:rPr>
          <w:rPr>
            <w:color w:val="0000EE"/>
            <w:u w:val="single"/>
          </w:rPr>
          <w:t>Sl 42–72</w:t>
        </w:r>
      </w:hyperlink>
      <w:r>
        <w:rPr>
          <w:lang w:val="pt_PT" w:bidi="pt_PT"/>
        </w:rPr>
        <w:t>) formam a primeira etapa da coleção. A transição de Davi no Livro Um (</w:t>
      </w:r>
      <w:hyperlink r:id="rId27">
        <w:r>
          <w:rPr>
            <w:lang w:val="pt_PT" w:bidi="pt_PT"/>
          </w:rPr>
          <w:rPr>
            <w:color w:val="0000EE"/>
            <w:u w:val="single"/>
          </w:rPr>
          <w:t>Sl 3–32</w:t>
        </w:r>
      </w:hyperlink>
      <w:r>
        <w:rPr>
          <w:lang w:val="pt_PT" w:bidi="pt_PT"/>
        </w:rPr>
        <w:t xml:space="preserve">; </w:t>
      </w:r>
      <w:hyperlink r:id="rId28">
        <w:r>
          <w:rPr>
            <w:lang w:val="pt_PT" w:bidi="pt_PT"/>
          </w:rPr>
          <w:rPr>
            <w:color w:val="0000EE"/>
            <w:u w:val="single"/>
          </w:rPr>
          <w:t>34–41</w:t>
        </w:r>
      </w:hyperlink>
      <w:r>
        <w:rPr>
          <w:lang w:val="pt_PT" w:bidi="pt_PT"/>
        </w:rPr>
        <w:t xml:space="preserve">) para coleções de salmos por vários autores no Livro Dois (os descendentes de Corá, </w:t>
      </w:r>
      <w:hyperlink r:id="rId29">
        <w:r>
          <w:rPr>
            <w:lang w:val="pt_PT" w:bidi="pt_PT"/>
          </w:rPr>
          <w:rPr>
            <w:color w:val="0000EE"/>
            <w:u w:val="single"/>
          </w:rPr>
          <w:t>Sl 42–49</w:t>
        </w:r>
      </w:hyperlink>
      <w:r>
        <w:rPr>
          <w:lang w:val="pt_PT" w:bidi="pt_PT"/>
        </w:rPr>
        <w:t xml:space="preserve">; Asafe, </w:t>
      </w:r>
      <w:hyperlink r:id="rId30">
        <w:r>
          <w:rPr>
            <w:lang w:val="pt_PT" w:bidi="pt_PT"/>
          </w:rPr>
          <w:rPr>
            <w:color w:val="0000EE"/>
            <w:u w:val="single"/>
          </w:rPr>
          <w:t>Sl 50</w:t>
        </w:r>
      </w:hyperlink>
      <w:r>
        <w:rPr>
          <w:lang w:val="pt_PT" w:bidi="pt_PT"/>
        </w:rPr>
        <w:t xml:space="preserve">; Davi, </w:t>
      </w:r>
      <w:hyperlink r:id="rId31">
        <w:r>
          <w:rPr>
            <w:lang w:val="pt_PT" w:bidi="pt_PT"/>
          </w:rPr>
          <w:rPr>
            <w:color w:val="0000EE"/>
            <w:u w:val="single"/>
          </w:rPr>
          <w:t>Sl 51–65</w:t>
        </w:r>
      </w:hyperlink>
      <w:r>
        <w:rPr>
          <w:lang w:val="pt_PT" w:bidi="pt_PT"/>
        </w:rPr>
        <w:t xml:space="preserve">; </w:t>
      </w:r>
      <w:hyperlink r:id="rId32">
        <w:r>
          <w:rPr>
            <w:lang w:val="pt_PT" w:bidi="pt_PT"/>
          </w:rPr>
          <w:rPr>
            <w:color w:val="0000EE"/>
            <w:u w:val="single"/>
          </w:rPr>
          <w:t>68–70</w:t>
        </w:r>
      </w:hyperlink>
      <w:r>
        <w:rPr>
          <w:lang w:val="pt_PT" w:bidi="pt_PT"/>
        </w:rPr>
        <w:t xml:space="preserve">; Salomão, </w:t>
      </w:r>
      <w:hyperlink r:id="rId33">
        <w:r>
          <w:rPr>
            <w:lang w:val="pt_PT" w:bidi="pt_PT"/>
          </w:rPr>
          <w:rPr>
            <w:color w:val="0000EE"/>
            <w:u w:val="single"/>
          </w:rPr>
          <w:t>Sl 72</w:t>
        </w:r>
      </w:hyperlink>
      <w:r>
        <w:rPr>
          <w:lang w:val="pt_PT" w:bidi="pt_PT"/>
        </w:rPr>
        <w:t>) revela uma mudança temática de Davi como único modelo e professor para outras perspectivas. No final do Livro Dois, o editor comenta: “Aqui terminam as orações de Davi, filho de Jessé” (</w:t>
      </w:r>
      <w:hyperlink r:id="rId34">
        <w:r>
          <w:rPr>
            <w:lang w:val="pt_PT" w:bidi="pt_PT"/>
          </w:rPr>
          <w:rPr>
            <w:color w:val="0000EE"/>
            <w:u w:val="single"/>
          </w:rPr>
          <w:t>72.20</w:t>
        </w:r>
      </w:hyperlink>
      <w:r>
        <w:rPr>
          <w:lang w:val="pt_PT" w:bidi="pt_PT"/>
        </w:rPr>
        <w:t>). Este comentário permaneceu mesmo quando os livros Três, Quatro e Cinco (com salmos adicionais de Davi) foram adicionados à coleção.</w:t>
      </w:r>
    </w:p>
    <w:p>
      <w:pPr>
        <w:pStyle w:val="ListNumber"/>
        <w:spacing w:line="240" w:lineRule="auto"/>
        <w:ind w:left="720"/>
      </w:pPr>
      <w:r>
        <w:rPr>
          <w:lang w:val="pt_PT" w:bidi="pt_PT"/>
        </w:rPr>
      </w:r>
      <w:r>
        <w:rPr>
          <w:lang w:val="pt_PT" w:bidi="pt_PT"/>
        </w:rPr>
        <w:t>O Livro Três (</w:t>
      </w:r>
      <w:hyperlink r:id="rId22">
        <w:r>
          <w:rPr>
            <w:lang w:val="pt_PT" w:bidi="pt_PT"/>
          </w:rPr>
          <w:rPr>
            <w:color w:val="0000EE"/>
            <w:u w:val="single"/>
          </w:rPr>
          <w:t>Sl 73–89</w:t>
        </w:r>
      </w:hyperlink>
      <w:r>
        <w:rPr>
          <w:lang w:val="pt_PT" w:bidi="pt_PT"/>
        </w:rPr>
        <w:t xml:space="preserve">) compartilha com o Livro Dois sua preferência pelo nome </w:t>
      </w:r>
      <w:r>
        <w:rPr>
          <w:i/>
          <w:lang w:val="pt_PT" w:bidi="pt_PT"/>
        </w:rPr>
        <w:t>Elohim</w:t>
      </w:r>
      <w:r>
        <w:rPr>
          <w:lang w:val="pt_PT" w:bidi="pt_PT"/>
        </w:rPr>
        <w:t xml:space="preserve"> para Deus (</w:t>
      </w:r>
      <w:hyperlink r:id="rId35">
        <w:r>
          <w:rPr>
            <w:lang w:val="pt_PT" w:bidi="pt_PT"/>
          </w:rPr>
          <w:rPr>
            <w:color w:val="0000EE"/>
            <w:u w:val="single"/>
          </w:rPr>
          <w:t>Sl 42–83</w:t>
        </w:r>
      </w:hyperlink>
      <w:r>
        <w:rPr>
          <w:lang w:val="pt_PT" w:bidi="pt_PT"/>
        </w:rPr>
        <w:t xml:space="preserve">) e sua diversidade de autores (Asafe, </w:t>
      </w:r>
      <w:hyperlink r:id="rId36">
        <w:r>
          <w:rPr>
            <w:lang w:val="pt_PT" w:bidi="pt_PT"/>
          </w:rPr>
          <w:rPr>
            <w:color w:val="0000EE"/>
            <w:u w:val="single"/>
          </w:rPr>
          <w:t>Sl 73–83</w:t>
        </w:r>
      </w:hyperlink>
      <w:r>
        <w:rPr>
          <w:lang w:val="pt_PT" w:bidi="pt_PT"/>
        </w:rPr>
        <w:t xml:space="preserve">; os descendentes de Corá, </w:t>
      </w:r>
      <w:hyperlink r:id="rId37">
        <w:r>
          <w:rPr>
            <w:lang w:val="pt_PT" w:bidi="pt_PT"/>
          </w:rPr>
          <w:rPr>
            <w:color w:val="0000EE"/>
            <w:u w:val="single"/>
          </w:rPr>
          <w:t>Sl 84–85</w:t>
        </w:r>
      </w:hyperlink>
      <w:r>
        <w:rPr>
          <w:lang w:val="pt_PT" w:bidi="pt_PT"/>
        </w:rPr>
        <w:t xml:space="preserve">; </w:t>
      </w:r>
      <w:hyperlink r:id="rId38">
        <w:r>
          <w:rPr>
            <w:lang w:val="pt_PT" w:bidi="pt_PT"/>
          </w:rPr>
          <w:rPr>
            <w:color w:val="0000EE"/>
            <w:u w:val="single"/>
          </w:rPr>
          <w:t>87–88</w:t>
        </w:r>
      </w:hyperlink>
      <w:r>
        <w:rPr>
          <w:lang w:val="pt_PT" w:bidi="pt_PT"/>
        </w:rPr>
        <w:t xml:space="preserve">; Davi, </w:t>
      </w:r>
      <w:hyperlink r:id="rId39">
        <w:r>
          <w:rPr>
            <w:lang w:val="pt_PT" w:bidi="pt_PT"/>
          </w:rPr>
          <w:rPr>
            <w:color w:val="0000EE"/>
            <w:u w:val="single"/>
          </w:rPr>
          <w:t>Sl 86</w:t>
        </w:r>
      </w:hyperlink>
      <w:r>
        <w:rPr>
          <w:lang w:val="pt_PT" w:bidi="pt_PT"/>
        </w:rPr>
        <w:t xml:space="preserve">). </w:t>
      </w:r>
      <w:hyperlink r:id="rId40">
        <w:r>
          <w:rPr>
            <w:lang w:val="pt_PT" w:bidi="pt_PT"/>
          </w:rPr>
          <w:rPr>
            <w:color w:val="0000EE"/>
            <w:u w:val="single"/>
          </w:rPr>
          <w:t>O Salmo 73</w:t>
        </w:r>
      </w:hyperlink>
      <w:r>
        <w:rPr>
          <w:lang w:val="pt_PT" w:bidi="pt_PT"/>
        </w:rPr>
        <w:t>, que abre o Livro Três, questiona a justiça e o poder de Deus, colocando em dúvida a magnífica visão do reino messiânico delineada no salmo final do Livro Dois (</w:t>
      </w:r>
      <w:hyperlink r:id="rId33">
        <w:r>
          <w:rPr>
            <w:lang w:val="pt_PT" w:bidi="pt_PT"/>
          </w:rPr>
          <w:rPr>
            <w:color w:val="0000EE"/>
            <w:u w:val="single"/>
          </w:rPr>
          <w:t>Sl 72</w:t>
        </w:r>
      </w:hyperlink>
      <w:r>
        <w:rPr>
          <w:lang w:val="pt_PT" w:bidi="pt_PT"/>
        </w:rPr>
        <w:t xml:space="preserve">). Esse questionamento retorna no </w:t>
      </w:r>
      <w:hyperlink r:id="rId41">
        <w:r>
          <w:rPr>
            <w:lang w:val="pt_PT" w:bidi="pt_PT"/>
          </w:rPr>
          <w:rPr>
            <w:color w:val="0000EE"/>
            <w:u w:val="single"/>
          </w:rPr>
          <w:t>Salmo 89</w:t>
        </w:r>
      </w:hyperlink>
      <w:r>
        <w:rPr>
          <w:lang w:val="pt_PT" w:bidi="pt_PT"/>
        </w:rPr>
        <w:t>, no final do Livro Três.</w:t>
      </w:r>
    </w:p>
    <w:p>
      <w:pPr>
        <w:pStyle w:val="ListNumber"/>
        <w:spacing w:line="240" w:lineRule="auto"/>
        <w:ind w:left="720"/>
      </w:pPr>
      <w:r>
        <w:rPr>
          <w:lang w:val="pt_PT" w:bidi="pt_PT"/>
        </w:rPr>
      </w:r>
      <w:r>
        <w:rPr>
          <w:lang w:val="pt_PT" w:bidi="pt_PT"/>
        </w:rPr>
        <w:t>Os salmos do Livro Quatro (</w:t>
      </w:r>
      <w:hyperlink r:id="rId24">
        <w:r>
          <w:rPr>
            <w:lang w:val="pt_PT" w:bidi="pt_PT"/>
          </w:rPr>
          <w:rPr>
            <w:color w:val="0000EE"/>
            <w:u w:val="single"/>
          </w:rPr>
          <w:t>Sl 90–106</w:t>
        </w:r>
      </w:hyperlink>
      <w:r>
        <w:rPr>
          <w:lang w:val="pt_PT" w:bidi="pt_PT"/>
        </w:rPr>
        <w:t xml:space="preserve">) abordam questões levantadas na época do Exílio, quando parecia que a aliança de Deus com Davi havia sido rompida (veja </w:t>
      </w:r>
      <w:hyperlink r:id="rId41">
        <w:r>
          <w:rPr>
            <w:lang w:val="pt_PT" w:bidi="pt_PT"/>
          </w:rPr>
          <w:rPr>
            <w:color w:val="0000EE"/>
            <w:u w:val="single"/>
          </w:rPr>
          <w:t>Sl 89</w:t>
        </w:r>
      </w:hyperlink>
      <w:r>
        <w:rPr>
          <w:lang w:val="pt_PT" w:bidi="pt_PT"/>
        </w:rPr>
        <w:t xml:space="preserve">). Em resposta a essa crise, vários salmos incentivam o crescimento individual em caráter e piedade (veja </w:t>
      </w:r>
      <w:hyperlink r:id="rId42">
        <w:r>
          <w:rPr>
            <w:lang w:val="pt_PT" w:bidi="pt_PT"/>
          </w:rPr>
          <w:rPr>
            <w:color w:val="0000EE"/>
            <w:u w:val="single"/>
          </w:rPr>
          <w:t>Sl 91–92</w:t>
        </w:r>
      </w:hyperlink>
      <w:r>
        <w:rPr>
          <w:lang w:val="pt_PT" w:bidi="pt_PT"/>
        </w:rPr>
        <w:t>). A maioria dos salmos nesta coleção apresenta Deus como o verdadeiro e fiel rei cujo reino se estende a todas as partes da criação (</w:t>
      </w:r>
      <w:hyperlink r:id="rId43">
        <w:r>
          <w:rPr>
            <w:lang w:val="pt_PT" w:bidi="pt_PT"/>
          </w:rPr>
          <w:rPr>
            <w:color w:val="0000EE"/>
            <w:u w:val="single"/>
          </w:rPr>
          <w:t>Sl 93–100</w:t>
        </w:r>
      </w:hyperlink>
      <w:r>
        <w:rPr>
          <w:lang w:val="pt_PT" w:bidi="pt_PT"/>
        </w:rPr>
        <w:t>). Ele ainda ama seu povo, o rebanho de seu pasto (</w:t>
      </w:r>
      <w:hyperlink r:id="rId44">
        <w:r>
          <w:rPr>
            <w:lang w:val="pt_PT" w:bidi="pt_PT"/>
          </w:rPr>
          <w:rPr>
            <w:color w:val="0000EE"/>
            <w:u w:val="single"/>
          </w:rPr>
          <w:t>Sl 100</w:t>
        </w:r>
      </w:hyperlink>
      <w:r>
        <w:rPr>
          <w:lang w:val="pt_PT" w:bidi="pt_PT"/>
        </w:rPr>
        <w:t>), mas eles precisam ouvi-lo (</w:t>
      </w:r>
      <w:hyperlink r:id="rId45">
        <w:r>
          <w:rPr>
            <w:lang w:val="pt_PT" w:bidi="pt_PT"/>
          </w:rPr>
          <w:rPr>
            <w:color w:val="0000EE"/>
            <w:u w:val="single"/>
          </w:rPr>
          <w:t>Sl 95</w:t>
        </w:r>
      </w:hyperlink>
      <w:r>
        <w:rPr>
          <w:lang w:val="pt_PT" w:bidi="pt_PT"/>
        </w:rPr>
        <w:t xml:space="preserve">; </w:t>
      </w:r>
      <w:hyperlink r:id="rId44">
        <w:r>
          <w:rPr>
            <w:lang w:val="pt_PT" w:bidi="pt_PT"/>
          </w:rPr>
          <w:rPr>
            <w:color w:val="0000EE"/>
            <w:u w:val="single"/>
          </w:rPr>
          <w:t>100</w:t>
        </w:r>
      </w:hyperlink>
      <w:r>
        <w:rPr>
          <w:lang w:val="pt_PT" w:bidi="pt_PT"/>
        </w:rPr>
        <w:t>). Deus é a fonte do perdão, e sua compaixão assegura ao seu povo exilado que ele ainda se importa com eles. A revisão da história da redenção desde a criação até o Exílio (</w:t>
      </w:r>
      <w:hyperlink r:id="rId46">
        <w:r>
          <w:rPr>
            <w:lang w:val="pt_PT" w:bidi="pt_PT"/>
          </w:rPr>
          <w:rPr>
            <w:color w:val="0000EE"/>
            <w:u w:val="single"/>
          </w:rPr>
          <w:t>Sl 104–106</w:t>
        </w:r>
      </w:hyperlink>
      <w:r>
        <w:rPr>
          <w:lang w:val="pt_PT" w:bidi="pt_PT"/>
        </w:rPr>
        <w:t>) destaca tanto a sabedoria de Deus quanto a insensatez de Israel como uma estrutura para entender o Exílio.</w:t>
      </w:r>
    </w:p>
    <w:p>
      <w:pPr>
        <w:pStyle w:val="ListNumber"/>
        <w:spacing w:line="240" w:lineRule="auto"/>
        <w:ind w:left="720"/>
      </w:pPr>
      <w:r>
        <w:rPr>
          <w:lang w:val="pt_PT" w:bidi="pt_PT"/>
        </w:rPr>
      </w:r>
      <w:r>
        <w:rPr>
          <w:lang w:val="pt_PT" w:bidi="pt_PT"/>
        </w:rPr>
        <w:t xml:space="preserve">A bênção do </w:t>
      </w:r>
      <w:hyperlink r:id="rId25">
        <w:r>
          <w:rPr>
            <w:lang w:val="pt_PT" w:bidi="pt_PT"/>
          </w:rPr>
          <w:rPr>
            <w:color w:val="0000EE"/>
            <w:u w:val="single"/>
          </w:rPr>
          <w:t>Sl 106.48</w:t>
        </w:r>
      </w:hyperlink>
      <w:r>
        <w:rPr>
          <w:lang w:val="pt_PT" w:bidi="pt_PT"/>
        </w:rPr>
        <w:t xml:space="preserve"> também está incluída em </w:t>
      </w:r>
      <w:hyperlink r:id="rId47">
        <w:r>
          <w:rPr>
            <w:lang w:val="pt_PT" w:bidi="pt_PT"/>
          </w:rPr>
          <w:rPr>
            <w:color w:val="0000EE"/>
            <w:u w:val="single"/>
          </w:rPr>
          <w:t>1Cr 16.36</w:t>
        </w:r>
      </w:hyperlink>
      <w:r>
        <w:rPr>
          <w:lang w:val="pt_PT" w:bidi="pt_PT"/>
        </w:rPr>
        <w:t xml:space="preserve"> e pode indicar que o Livro Quatro foi concluído na era pós-exílica (quando Crônicas foi compilado).</w:t>
      </w:r>
    </w:p>
    <w:p>
      <w:pPr>
        <w:pStyle w:val="ListNumber"/>
        <w:spacing w:line="240" w:lineRule="auto"/>
        <w:ind w:left="720"/>
      </w:pPr>
      <w:r>
        <w:rPr>
          <w:lang w:val="pt_PT" w:bidi="pt_PT"/>
        </w:rPr>
      </w:r>
      <w:r>
        <w:rPr>
          <w:lang w:val="pt_PT" w:bidi="pt_PT"/>
        </w:rPr>
        <w:t>O Livro Cinco (</w:t>
      </w:r>
      <w:hyperlink r:id="rId26">
        <w:r>
          <w:rPr>
            <w:lang w:val="pt_PT" w:bidi="pt_PT"/>
          </w:rPr>
          <w:rPr>
            <w:color w:val="0000EE"/>
            <w:u w:val="single"/>
          </w:rPr>
          <w:t>Sl 107–150</w:t>
        </w:r>
      </w:hyperlink>
      <w:r>
        <w:rPr>
          <w:lang w:val="pt_PT" w:bidi="pt_PT"/>
        </w:rPr>
        <w:t xml:space="preserve">) inclui várias coleções menores: o </w:t>
      </w:r>
      <w:r>
        <w:rPr>
          <w:i/>
          <w:lang w:val="pt_PT" w:bidi="pt_PT"/>
        </w:rPr>
        <w:t>Hallel Egípcio</w:t>
      </w:r>
      <w:r>
        <w:rPr>
          <w:lang w:val="pt_PT" w:bidi="pt_PT"/>
        </w:rPr>
        <w:t xml:space="preserve"> (</w:t>
      </w:r>
      <w:hyperlink r:id="rId48">
        <w:r>
          <w:rPr>
            <w:lang w:val="pt_PT" w:bidi="pt_PT"/>
          </w:rPr>
          <w:rPr>
            <w:color w:val="0000EE"/>
            <w:u w:val="single"/>
          </w:rPr>
          <w:t>Sl 113–118</w:t>
        </w:r>
      </w:hyperlink>
      <w:r>
        <w:rPr>
          <w:lang w:val="pt_PT" w:bidi="pt_PT"/>
        </w:rPr>
        <w:t xml:space="preserve">); o </w:t>
      </w:r>
      <w:r>
        <w:rPr>
          <w:i/>
          <w:lang w:val="pt_PT" w:bidi="pt_PT"/>
        </w:rPr>
        <w:t>Salmo da Torá</w:t>
      </w:r>
      <w:r>
        <w:rPr>
          <w:lang w:val="pt_PT" w:bidi="pt_PT"/>
        </w:rPr>
        <w:t xml:space="preserve"> (</w:t>
      </w:r>
      <w:hyperlink r:id="rId49">
        <w:r>
          <w:rPr>
            <w:lang w:val="pt_PT" w:bidi="pt_PT"/>
          </w:rPr>
          <w:rPr>
            <w:color w:val="0000EE"/>
            <w:u w:val="single"/>
          </w:rPr>
          <w:t>Sl 119</w:t>
        </w:r>
      </w:hyperlink>
      <w:r>
        <w:rPr>
          <w:lang w:val="pt_PT" w:bidi="pt_PT"/>
        </w:rPr>
        <w:t xml:space="preserve">); o </w:t>
      </w:r>
      <w:r>
        <w:rPr>
          <w:i/>
          <w:lang w:val="pt_PT" w:bidi="pt_PT"/>
        </w:rPr>
        <w:t>Grande Hallel</w:t>
      </w:r>
      <w:r>
        <w:rPr>
          <w:lang w:val="pt_PT" w:bidi="pt_PT"/>
        </w:rPr>
        <w:t xml:space="preserve"> (</w:t>
      </w:r>
      <w:hyperlink r:id="rId50">
        <w:r>
          <w:rPr>
            <w:lang w:val="pt_PT" w:bidi="pt_PT"/>
          </w:rPr>
          <w:rPr>
            <w:color w:val="0000EE"/>
            <w:u w:val="single"/>
          </w:rPr>
          <w:t>Sl 120–136</w:t>
        </w:r>
      </w:hyperlink>
      <w:r>
        <w:rPr>
          <w:lang w:val="pt_PT" w:bidi="pt_PT"/>
        </w:rPr>
        <w:t xml:space="preserve">), que inclui os </w:t>
      </w:r>
      <w:r>
        <w:rPr>
          <w:i/>
          <w:lang w:val="pt_PT" w:bidi="pt_PT"/>
        </w:rPr>
        <w:t>Cânticos de Ascensão</w:t>
      </w:r>
      <w:r>
        <w:rPr>
          <w:lang w:val="pt_PT" w:bidi="pt_PT"/>
        </w:rPr>
        <w:t xml:space="preserve"> (</w:t>
      </w:r>
      <w:hyperlink r:id="rId51">
        <w:r>
          <w:rPr>
            <w:lang w:val="pt_PT" w:bidi="pt_PT"/>
          </w:rPr>
          <w:rPr>
            <w:color w:val="0000EE"/>
            <w:u w:val="single"/>
          </w:rPr>
          <w:t>Sl 120–134</w:t>
        </w:r>
      </w:hyperlink>
      <w:r>
        <w:rPr>
          <w:lang w:val="pt_PT" w:bidi="pt_PT"/>
        </w:rPr>
        <w:t>); oito salmos de Davi (</w:t>
      </w:r>
      <w:hyperlink r:id="rId52">
        <w:r>
          <w:rPr>
            <w:lang w:val="pt_PT" w:bidi="pt_PT"/>
          </w:rPr>
          <w:rPr>
            <w:color w:val="0000EE"/>
            <w:u w:val="single"/>
          </w:rPr>
          <w:t>Sl 138–145</w:t>
        </w:r>
      </w:hyperlink>
      <w:r>
        <w:rPr>
          <w:lang w:val="pt_PT" w:bidi="pt_PT"/>
        </w:rPr>
        <w:t>); e cinco hinos de louvor conclusivos (</w:t>
      </w:r>
      <w:hyperlink r:id="rId53">
        <w:r>
          <w:rPr>
            <w:lang w:val="pt_PT" w:bidi="pt_PT"/>
          </w:rPr>
          <w:rPr>
            <w:color w:val="0000EE"/>
            <w:u w:val="single"/>
          </w:rPr>
          <w:t>Sl 146–150</w:t>
        </w:r>
      </w:hyperlink>
      <w:r>
        <w:rPr>
          <w:lang w:val="pt_PT" w:bidi="pt_PT"/>
        </w:rPr>
        <w:t>). O Livro Cinco estabelece a progressão temática de aflição, lamento, resgate de Deus e louvor. O salmo de abertura (</w:t>
      </w:r>
      <w:hyperlink r:id="rId54">
        <w:r>
          <w:rPr>
            <w:lang w:val="pt_PT" w:bidi="pt_PT"/>
          </w:rPr>
          <w:rPr>
            <w:color w:val="0000EE"/>
            <w:u w:val="single"/>
          </w:rPr>
          <w:t>Sl 107</w:t>
        </w:r>
      </w:hyperlink>
      <w:r>
        <w:rPr>
          <w:lang w:val="pt_PT" w:bidi="pt_PT"/>
        </w:rPr>
        <w:t>) inicia esse padrão, e seu versículo final (</w:t>
      </w:r>
      <w:hyperlink r:id="rId55">
        <w:r>
          <w:rPr>
            <w:lang w:val="pt_PT" w:bidi="pt_PT"/>
          </w:rPr>
          <w:rPr>
            <w:color w:val="0000EE"/>
            <w:u w:val="single"/>
          </w:rPr>
          <w:t>107.43</w:t>
        </w:r>
      </w:hyperlink>
      <w:r>
        <w:rPr>
          <w:lang w:val="pt_PT" w:bidi="pt_PT"/>
        </w:rPr>
        <w:t xml:space="preserve">) destaca a importância da sabedoria em discernir os caminhos de Deus. </w:t>
      </w:r>
      <w:hyperlink r:id="rId49">
        <w:r>
          <w:rPr>
            <w:lang w:val="pt_PT" w:bidi="pt_PT"/>
          </w:rPr>
          <w:rPr>
            <w:color w:val="0000EE"/>
            <w:u w:val="single"/>
          </w:rPr>
          <w:t>O Sl 119</w:t>
        </w:r>
      </w:hyperlink>
      <w:r>
        <w:rPr>
          <w:lang w:val="pt_PT" w:bidi="pt_PT"/>
        </w:rPr>
        <w:t>, o mais longo, celebra a sabedoria de Deus e a palavra de Deus. Os salmos que recontam o cuidado histórico do Senhor por Israel no deserto (</w:t>
      </w:r>
      <w:hyperlink r:id="rId56">
        <w:r>
          <w:rPr>
            <w:lang w:val="pt_PT" w:bidi="pt_PT"/>
          </w:rPr>
          <w:rPr>
            <w:color w:val="0000EE"/>
            <w:u w:val="single"/>
          </w:rPr>
          <w:t>Sl 114–118</w:t>
        </w:r>
      </w:hyperlink>
      <w:r>
        <w:rPr>
          <w:lang w:val="pt_PT" w:bidi="pt_PT"/>
        </w:rPr>
        <w:t xml:space="preserve">; </w:t>
      </w:r>
      <w:hyperlink r:id="rId57">
        <w:r>
          <w:rPr>
            <w:lang w:val="pt_PT" w:bidi="pt_PT"/>
          </w:rPr>
          <w:rPr>
            <w:color w:val="0000EE"/>
            <w:u w:val="single"/>
          </w:rPr>
          <w:t>135–136</w:t>
        </w:r>
      </w:hyperlink>
      <w:r>
        <w:rPr>
          <w:lang w:val="pt_PT" w:bidi="pt_PT"/>
        </w:rPr>
        <w:t>) preparam Israel exílico e pós-exílico para ler as orações finais de Davi (</w:t>
      </w:r>
      <w:hyperlink r:id="rId52">
        <w:r>
          <w:rPr>
            <w:lang w:val="pt_PT" w:bidi="pt_PT"/>
          </w:rPr>
          <w:rPr>
            <w:color w:val="0000EE"/>
            <w:u w:val="single"/>
          </w:rPr>
          <w:t>Sl 138–145</w:t>
        </w:r>
      </w:hyperlink>
      <w:r>
        <w:rPr>
          <w:lang w:val="pt_PT" w:bidi="pt_PT"/>
        </w:rPr>
        <w:t>) sob uma nova perspectiva: Davi aguardava o reino de Deus (</w:t>
      </w:r>
      <w:hyperlink r:id="rId58">
        <w:r>
          <w:rPr>
            <w:lang w:val="pt_PT" w:bidi="pt_PT"/>
          </w:rPr>
          <w:rPr>
            <w:color w:val="0000EE"/>
            <w:u w:val="single"/>
          </w:rPr>
          <w:t>Sl 145</w:t>
        </w:r>
      </w:hyperlink>
      <w:r>
        <w:rPr>
          <w:lang w:val="pt_PT" w:bidi="pt_PT"/>
        </w:rPr>
        <w:t>). Os salmos de louvor afirmam essa esperança (</w:t>
      </w:r>
      <w:hyperlink r:id="rId53">
        <w:r>
          <w:rPr>
            <w:lang w:val="pt_PT" w:bidi="pt_PT"/>
          </w:rPr>
          <w:rPr>
            <w:color w:val="0000EE"/>
            <w:u w:val="single"/>
          </w:rPr>
          <w:t>Sl 146–150</w:t>
        </w:r>
      </w:hyperlink>
      <w:r>
        <w:rPr>
          <w:lang w:val="pt_PT" w:bidi="pt_PT"/>
        </w:rPr>
        <w:t>).</w:t>
      </w:r>
    </w:p>
    <w:p>
      <w:pPr>
        <w:pStyle w:val="ListNumber"/>
        <w:spacing w:line="240" w:lineRule="auto"/>
        <w:ind w:left="720"/>
      </w:pPr>
      <w:r>
        <w:rPr>
          <w:lang w:val="pt_PT" w:bidi="pt_PT"/>
        </w:rPr>
      </w:r>
      <w:r>
        <w:rPr>
          <w:lang w:val="pt_PT" w:bidi="pt_PT"/>
        </w:rPr>
        <w:t>Adições parecem ter sido feitas a salmos já existentes. Isso pode explicar a oração pela restauração de Sião (</w:t>
      </w:r>
      <w:hyperlink r:id="rId59">
        <w:r>
          <w:rPr>
            <w:lang w:val="pt_PT" w:bidi="pt_PT"/>
          </w:rPr>
          <w:rPr>
            <w:color w:val="0000EE"/>
            <w:u w:val="single"/>
          </w:rPr>
          <w:t>51.18–19</w:t>
        </w:r>
      </w:hyperlink>
      <w:r>
        <w:rPr>
          <w:lang w:val="pt_PT" w:bidi="pt_PT"/>
        </w:rPr>
        <w:t>) e pela bênção de Deus sobre Jerusalém (</w:t>
      </w:r>
      <w:hyperlink r:id="rId60">
        <w:r>
          <w:rPr>
            <w:lang w:val="pt_PT" w:bidi="pt_PT"/>
          </w:rPr>
          <w:rPr>
            <w:color w:val="0000EE"/>
            <w:u w:val="single"/>
          </w:rPr>
          <w:t>69.34–36</w:t>
        </w:r>
      </w:hyperlink>
      <w:r>
        <w:rPr>
          <w:lang w:val="pt_PT" w:bidi="pt_PT"/>
        </w:rPr>
        <w:t>). Mudanças nas circunstâncias podem ter ocasionado a adição de novas estrofes.</w:t>
      </w:r>
    </w:p>
    <w:p>
      <w:pPr>
        <w:pStyle w:val="ListNumber"/>
        <w:spacing w:line="240" w:lineRule="auto"/>
        <w:ind w:left="720"/>
      </w:pPr>
      <w:r>
        <w:rPr>
          <w:lang w:val="pt_PT" w:bidi="pt_PT"/>
        </w:rPr>
      </w:r>
      <w:r>
        <w:rPr>
          <w:lang w:val="pt_PT" w:bidi="pt_PT"/>
        </w:rP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61">
        <w:r>
          <w:rPr>
            <w:lang w:val="pt_PT" w:bidi="pt_PT"/>
          </w:rPr>
          <w:rPr>
            <w:color w:val="0000EE"/>
            <w:u w:val="single"/>
          </w:rPr>
          <w:t>os Sl 9</w:t>
        </w:r>
      </w:hyperlink>
      <w:r>
        <w:rPr>
          <w:lang w:val="pt_PT" w:bidi="pt_PT"/>
        </w:rPr>
        <w:t xml:space="preserve"> e </w:t>
      </w:r>
      <w:hyperlink r:id="rId62">
        <w:r>
          <w:rPr>
            <w:lang w:val="pt_PT" w:bidi="pt_PT"/>
          </w:rPr>
          <w:rPr>
            <w:color w:val="0000EE"/>
            <w:u w:val="single"/>
          </w:rPr>
          <w:t>10</w:t>
        </w:r>
      </w:hyperlink>
      <w:r>
        <w:rPr>
          <w:lang w:val="pt_PT" w:bidi="pt_PT"/>
        </w:rPr>
        <w:t xml:space="preserve"> quanto </w:t>
      </w:r>
      <w:hyperlink r:id="rId63">
        <w:r>
          <w:rPr>
            <w:lang w:val="pt_PT" w:bidi="pt_PT"/>
          </w:rPr>
          <w:rPr>
            <w:color w:val="0000EE"/>
            <w:u w:val="single"/>
          </w:rPr>
          <w:t>os Sl 114</w:t>
        </w:r>
      </w:hyperlink>
      <w:r>
        <w:rPr>
          <w:lang w:val="pt_PT" w:bidi="pt_PT"/>
        </w:rPr>
        <w:t xml:space="preserve"> e </w:t>
      </w:r>
      <w:hyperlink r:id="rId64">
        <w:r>
          <w:rPr>
            <w:lang w:val="pt_PT" w:bidi="pt_PT"/>
          </w:rPr>
          <w:rPr>
            <w:color w:val="0000EE"/>
            <w:u w:val="single"/>
          </w:rPr>
          <w:t>115</w:t>
        </w:r>
      </w:hyperlink>
      <w:r>
        <w:rPr>
          <w:lang w:val="pt_PT" w:bidi="pt_PT"/>
        </w:rPr>
        <w:t xml:space="preserve"> em um salmo cada, mas divide tanto </w:t>
      </w:r>
      <w:hyperlink r:id="rId65">
        <w:r>
          <w:rPr>
            <w:lang w:val="pt_PT" w:bidi="pt_PT"/>
          </w:rPr>
          <w:rPr>
            <w:color w:val="0000EE"/>
            <w:u w:val="single"/>
          </w:rPr>
          <w:t>os Sl 116</w:t>
        </w:r>
      </w:hyperlink>
      <w:r>
        <w:rPr>
          <w:lang w:val="pt_PT" w:bidi="pt_PT"/>
        </w:rPr>
        <w:t xml:space="preserve"> quanto </w:t>
      </w:r>
      <w:hyperlink r:id="rId66">
        <w:r>
          <w:rPr>
            <w:lang w:val="pt_PT" w:bidi="pt_PT"/>
          </w:rPr>
          <w:rPr>
            <w:color w:val="0000EE"/>
            <w:u w:val="single"/>
          </w:rPr>
          <w:t>147</w:t>
        </w:r>
      </w:hyperlink>
      <w:r>
        <w:rPr>
          <w:lang w:val="pt_PT" w:bidi="pt_PT"/>
        </w:rPr>
        <w:t xml:space="preserve"> em dois. As diferenças entre a numeração hebraica e inglesa são indicadas nas notas.</w:t>
      </w:r>
    </w:p>
    <w:p>
      <w:pPr/>
      <w:r>
        <w:rPr>
          <w:lang w:val="pt_PT" w:bidi="pt_PT"/>
        </w:rPr>
      </w:r>
      <w:r>
        <w:rPr>
          <w:lang w:val="pt_PT" w:bidi="pt_PT"/>
        </w:rPr>
        <w:t xml:space="preserve">Na época de Jesus, a coleção do Saltério era bem conhecida (veja </w:t>
      </w:r>
      <w:hyperlink r:id="rId67">
        <w:r>
          <w:rPr>
            <w:lang w:val="pt_PT" w:bidi="pt_PT"/>
          </w:rPr>
          <w:rPr>
            <w:color w:val="0000EE"/>
            <w:u w:val="single"/>
          </w:rPr>
          <w:t>Lc 20.42</w:t>
        </w:r>
      </w:hyperlink>
      <w:r>
        <w:rPr>
          <w:lang w:val="pt_PT" w:bidi="pt_PT"/>
        </w:rPr>
        <w:t xml:space="preserve">; </w:t>
      </w:r>
      <w:hyperlink r:id="rId68">
        <w:r>
          <w:rPr>
            <w:lang w:val="pt_PT" w:bidi="pt_PT"/>
          </w:rPr>
          <w:rPr>
            <w:color w:val="0000EE"/>
            <w:u w:val="single"/>
          </w:rPr>
          <w:t>At 1.20</w:t>
        </w:r>
      </w:hyperlink>
      <w:r>
        <w:rPr>
          <w:lang w:val="pt_PT" w:bidi="pt_PT"/>
        </w:rPr>
        <w:t xml:space="preserve">). Fazia parte da terceira seção do cânon hebraico, chamada de Escritos (veja </w:t>
      </w:r>
      <w:hyperlink r:id="rId69">
        <w:r>
          <w:rPr>
            <w:lang w:val="pt_PT" w:bidi="pt_PT"/>
          </w:rPr>
          <w:rPr>
            <w:color w:val="0000EE"/>
            <w:u w:val="single"/>
          </w:rPr>
          <w:t>Lc 24.44</w:t>
        </w:r>
      </w:hyperlink>
      <w:r>
        <w:rPr>
          <w:lang w:val="pt_PT" w:bidi="pt_PT"/>
        </w:rPr>
        <w:t>).</w:t>
      </w:r>
    </w:p>
    <w:p>
      <w:pPr>
        <w:pStyle w:val="Heading2"/>
      </w:pPr>
      <w:r>
        <w:rPr>
          <w:lang w:val="pt_PT" w:bidi="pt_PT"/>
        </w:rPr>
        <w:t>Autoria</w:t>
      </w:r>
    </w:p>
    <w:p>
      <w:pPr/>
      <w:r>
        <w:rPr>
          <w:lang w:val="pt_PT" w:bidi="pt_PT"/>
        </w:rPr>
      </w:r>
      <w:r>
        <w:rPr>
          <w:lang w:val="pt_PT" w:bidi="pt_PT"/>
        </w:rPr>
        <w:t>Muitos dos salmos são associados a Davi, mas não todos; na verdade, menos da metade estão explicitamente ligados a ele. Outros estão conectados com Asafe (</w:t>
      </w:r>
      <w:hyperlink r:id="rId30">
        <w:r>
          <w:rPr>
            <w:lang w:val="pt_PT" w:bidi="pt_PT"/>
          </w:rPr>
          <w:rPr>
            <w:color w:val="0000EE"/>
            <w:u w:val="single"/>
          </w:rPr>
          <w:t>Sl 50</w:t>
        </w:r>
      </w:hyperlink>
      <w:r>
        <w:rPr>
          <w:lang w:val="pt_PT" w:bidi="pt_PT"/>
        </w:rPr>
        <w:t xml:space="preserve">; </w:t>
      </w:r>
      <w:hyperlink r:id="rId36">
        <w:r>
          <w:rPr>
            <w:lang w:val="pt_PT" w:bidi="pt_PT"/>
          </w:rPr>
          <w:rPr>
            <w:color w:val="0000EE"/>
            <w:u w:val="single"/>
          </w:rPr>
          <w:t>73–83</w:t>
        </w:r>
      </w:hyperlink>
      <w:r>
        <w:rPr>
          <w:lang w:val="pt_PT" w:bidi="pt_PT"/>
        </w:rPr>
        <w:t>), os descendentes de Corá (</w:t>
      </w:r>
      <w:hyperlink r:id="rId29">
        <w:r>
          <w:rPr>
            <w:lang w:val="pt_PT" w:bidi="pt_PT"/>
          </w:rPr>
          <w:rPr>
            <w:color w:val="0000EE"/>
            <w:u w:val="single"/>
          </w:rPr>
          <w:t>Sl 42–49</w:t>
        </w:r>
      </w:hyperlink>
      <w:r>
        <w:rPr>
          <w:lang w:val="pt_PT" w:bidi="pt_PT"/>
        </w:rPr>
        <w:t xml:space="preserve">; </w:t>
      </w:r>
      <w:hyperlink r:id="rId37">
        <w:r>
          <w:rPr>
            <w:lang w:val="pt_PT" w:bidi="pt_PT"/>
          </w:rPr>
          <w:rPr>
            <w:color w:val="0000EE"/>
            <w:u w:val="single"/>
          </w:rPr>
          <w:t>84–85</w:t>
        </w:r>
      </w:hyperlink>
      <w:r>
        <w:rPr>
          <w:lang w:val="pt_PT" w:bidi="pt_PT"/>
        </w:rPr>
        <w:t xml:space="preserve">; </w:t>
      </w:r>
      <w:hyperlink r:id="rId70">
        <w:r>
          <w:rPr>
            <w:lang w:val="pt_PT" w:bidi="pt_PT"/>
          </w:rPr>
          <w:rPr>
            <w:color w:val="0000EE"/>
            <w:u w:val="single"/>
          </w:rPr>
          <w:t>87</w:t>
        </w:r>
      </w:hyperlink>
      <w:r>
        <w:rPr>
          <w:lang w:val="pt_PT" w:bidi="pt_PT"/>
        </w:rPr>
        <w:t>), Salomão (</w:t>
      </w:r>
      <w:hyperlink r:id="rId33">
        <w:r>
          <w:rPr>
            <w:lang w:val="pt_PT" w:bidi="pt_PT"/>
          </w:rPr>
          <w:rPr>
            <w:color w:val="0000EE"/>
            <w:u w:val="single"/>
          </w:rPr>
          <w:t>Sl 72</w:t>
        </w:r>
      </w:hyperlink>
      <w:r>
        <w:rPr>
          <w:lang w:val="pt_PT" w:bidi="pt_PT"/>
        </w:rPr>
        <w:t xml:space="preserve">; </w:t>
      </w:r>
      <w:hyperlink r:id="rId71">
        <w:r>
          <w:rPr>
            <w:lang w:val="pt_PT" w:bidi="pt_PT"/>
          </w:rPr>
          <w:rPr>
            <w:color w:val="0000EE"/>
            <w:u w:val="single"/>
          </w:rPr>
          <w:t>127</w:t>
        </w:r>
      </w:hyperlink>
      <w:r>
        <w:rPr>
          <w:lang w:val="pt_PT" w:bidi="pt_PT"/>
        </w:rPr>
        <w:t>), Hemã (</w:t>
      </w:r>
      <w:hyperlink r:id="rId72">
        <w:r>
          <w:rPr>
            <w:lang w:val="pt_PT" w:bidi="pt_PT"/>
          </w:rPr>
          <w:rPr>
            <w:color w:val="0000EE"/>
            <w:u w:val="single"/>
          </w:rPr>
          <w:t>Sl 88</w:t>
        </w:r>
      </w:hyperlink>
      <w:r>
        <w:rPr>
          <w:lang w:val="pt_PT" w:bidi="pt_PT"/>
        </w:rPr>
        <w:t>), Etã (</w:t>
      </w:r>
      <w:hyperlink r:id="rId41">
        <w:r>
          <w:rPr>
            <w:lang w:val="pt_PT" w:bidi="pt_PT"/>
          </w:rPr>
          <w:rPr>
            <w:color w:val="0000EE"/>
            <w:u w:val="single"/>
          </w:rPr>
          <w:t>Sl 89</w:t>
        </w:r>
      </w:hyperlink>
      <w:r>
        <w:rPr>
          <w:lang w:val="pt_PT" w:bidi="pt_PT"/>
        </w:rPr>
        <w:t>) e Moisés (</w:t>
      </w:r>
      <w:hyperlink r:id="rId73">
        <w:r>
          <w:rPr>
            <w:lang w:val="pt_PT" w:bidi="pt_PT"/>
          </w:rPr>
          <w:rPr>
            <w:color w:val="0000EE"/>
            <w:u w:val="single"/>
          </w:rPr>
          <w:t>Sl 90</w:t>
        </w:r>
      </w:hyperlink>
      <w:r>
        <w:rPr>
          <w:lang w:val="pt_PT" w:bidi="pt_PT"/>
        </w:rPr>
        <w:t>).</w:t>
      </w:r>
    </w:p>
    <w:p>
      <w:pPr/>
      <w:r>
        <w:rPr>
          <w:lang w:val="pt_PT" w:bidi="pt_PT"/>
        </w:rPr>
      </w:r>
      <w:r>
        <w:rPr>
          <w:lang w:val="pt_PT" w:bidi="pt_PT"/>
        </w:rP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4">
        <w:r>
          <w:rPr>
            <w:lang w:val="pt_PT" w:bidi="pt_PT"/>
          </w:rPr>
          <w:rPr>
            <w:color w:val="0000EE"/>
            <w:u w:val="single"/>
          </w:rPr>
          <w:t>Sl 39</w:t>
        </w:r>
      </w:hyperlink>
      <w:r>
        <w:rPr>
          <w:lang w:val="pt_PT" w:bidi="pt_PT"/>
        </w:rPr>
        <w:t xml:space="preserve">, </w:t>
      </w:r>
      <w:hyperlink r:id="rId75">
        <w:r>
          <w:rPr>
            <w:lang w:val="pt_PT" w:bidi="pt_PT"/>
          </w:rPr>
          <w:rPr>
            <w:color w:val="0000EE"/>
            <w:u w:val="single"/>
          </w:rPr>
          <w:t>62</w:t>
        </w:r>
      </w:hyperlink>
      <w:r>
        <w:rPr>
          <w:lang w:val="pt_PT" w:bidi="pt_PT"/>
        </w:rPr>
        <w:t xml:space="preserve">, </w:t>
      </w:r>
      <w:hyperlink r:id="rId76">
        <w:r>
          <w:rPr>
            <w:lang w:val="pt_PT" w:bidi="pt_PT"/>
          </w:rPr>
          <w:rPr>
            <w:color w:val="0000EE"/>
            <w:u w:val="single"/>
          </w:rPr>
          <w:t>77</w:t>
        </w:r>
      </w:hyperlink>
      <w:r>
        <w:rPr>
          <w:lang w:val="pt_PT" w:bidi="pt_PT"/>
        </w:rPr>
        <w:t>). É possível que o outro indivíduo fosse o verdadeiro autor do salmo. Além disso, os salmos cujos títulos os conectam com um episódio da vida de Davi (</w:t>
      </w:r>
      <w:hyperlink r:id="rId77">
        <w:r>
          <w:rPr>
            <w:lang w:val="pt_PT" w:bidi="pt_PT"/>
          </w:rPr>
          <w:rPr>
            <w:color w:val="0000EE"/>
            <w:u w:val="single"/>
          </w:rPr>
          <w:t>Sl 3</w:t>
        </w:r>
      </w:hyperlink>
      <w:r>
        <w:rPr>
          <w:lang w:val="pt_PT" w:bidi="pt_PT"/>
        </w:rPr>
        <w:t xml:space="preserve">, </w:t>
      </w:r>
      <w:hyperlink r:id="rId78">
        <w:r>
          <w:rPr>
            <w:lang w:val="pt_PT" w:bidi="pt_PT"/>
          </w:rPr>
          <w:rPr>
            <w:color w:val="0000EE"/>
            <w:u w:val="single"/>
          </w:rPr>
          <w:t>7</w:t>
        </w:r>
      </w:hyperlink>
      <w:r>
        <w:rPr>
          <w:lang w:val="pt_PT" w:bidi="pt_PT"/>
        </w:rPr>
        <w:t xml:space="preserve">, </w:t>
      </w:r>
      <w:hyperlink r:id="rId79">
        <w:r>
          <w:rPr>
            <w:lang w:val="pt_PT" w:bidi="pt_PT"/>
          </w:rPr>
          <w:rPr>
            <w:color w:val="0000EE"/>
            <w:u w:val="single"/>
          </w:rPr>
          <w:t>18</w:t>
        </w:r>
      </w:hyperlink>
      <w:r>
        <w:rPr>
          <w:lang w:val="pt_PT" w:bidi="pt_PT"/>
        </w:rPr>
        <w:t xml:space="preserve">, </w:t>
      </w:r>
      <w:hyperlink r:id="rId80">
        <w:r>
          <w:rPr>
            <w:lang w:val="pt_PT" w:bidi="pt_PT"/>
          </w:rPr>
          <w:rPr>
            <w:color w:val="0000EE"/>
            <w:u w:val="single"/>
          </w:rPr>
          <w:t>34</w:t>
        </w:r>
      </w:hyperlink>
      <w:r>
        <w:rPr>
          <w:lang w:val="pt_PT" w:bidi="pt_PT"/>
        </w:rPr>
        <w:t xml:space="preserve">, </w:t>
      </w:r>
      <w:hyperlink r:id="rId81">
        <w:r>
          <w:rPr>
            <w:lang w:val="pt_PT" w:bidi="pt_PT"/>
          </w:rPr>
          <w:rPr>
            <w:color w:val="0000EE"/>
            <w:u w:val="single"/>
          </w:rPr>
          <w:t>51</w:t>
        </w:r>
      </w:hyperlink>
      <w:r>
        <w:rPr>
          <w:lang w:val="pt_PT" w:bidi="pt_PT"/>
        </w:rPr>
        <w:t xml:space="preserve">, </w:t>
      </w:r>
      <w:hyperlink r:id="rId82">
        <w:r>
          <w:rPr>
            <w:lang w:val="pt_PT" w:bidi="pt_PT"/>
          </w:rPr>
          <w:rPr>
            <w:color w:val="0000EE"/>
            <w:u w:val="single"/>
          </w:rPr>
          <w:t>52</w:t>
        </w:r>
      </w:hyperlink>
      <w:r>
        <w:rPr>
          <w:lang w:val="pt_PT" w:bidi="pt_PT"/>
        </w:rPr>
        <w:t xml:space="preserve">, </w:t>
      </w:r>
      <w:hyperlink r:id="rId83">
        <w:r>
          <w:rPr>
            <w:lang w:val="pt_PT" w:bidi="pt_PT"/>
          </w:rPr>
          <w:rPr>
            <w:color w:val="0000EE"/>
            <w:u w:val="single"/>
          </w:rPr>
          <w:t>54</w:t>
        </w:r>
      </w:hyperlink>
      <w:r>
        <w:rPr>
          <w:lang w:val="pt_PT" w:bidi="pt_PT"/>
        </w:rPr>
        <w:t xml:space="preserve">, </w:t>
      </w:r>
      <w:hyperlink r:id="rId84">
        <w:r>
          <w:rPr>
            <w:lang w:val="pt_PT" w:bidi="pt_PT"/>
          </w:rPr>
          <w:rPr>
            <w:color w:val="0000EE"/>
            <w:u w:val="single"/>
          </w:rPr>
          <w:t>56</w:t>
        </w:r>
      </w:hyperlink>
      <w:r>
        <w:rPr>
          <w:lang w:val="pt_PT" w:bidi="pt_PT"/>
        </w:rPr>
        <w:t xml:space="preserve">, </w:t>
      </w:r>
      <w:hyperlink r:id="rId85">
        <w:r>
          <w:rPr>
            <w:lang w:val="pt_PT" w:bidi="pt_PT"/>
          </w:rPr>
          <w:rPr>
            <w:color w:val="0000EE"/>
            <w:u w:val="single"/>
          </w:rPr>
          <w:t>57</w:t>
        </w:r>
      </w:hyperlink>
      <w:r>
        <w:rPr>
          <w:lang w:val="pt_PT" w:bidi="pt_PT"/>
        </w:rPr>
        <w:t xml:space="preserve">, </w:t>
      </w:r>
      <w:hyperlink r:id="rId86">
        <w:r>
          <w:rPr>
            <w:lang w:val="pt_PT" w:bidi="pt_PT"/>
          </w:rPr>
          <w:rPr>
            <w:color w:val="0000EE"/>
            <w:u w:val="single"/>
          </w:rPr>
          <w:t>59</w:t>
        </w:r>
      </w:hyperlink>
      <w:r>
        <w:rPr>
          <w:lang w:val="pt_PT" w:bidi="pt_PT"/>
        </w:rPr>
        <w:t xml:space="preserve">, </w:t>
      </w:r>
      <w:hyperlink r:id="rId87">
        <w:r>
          <w:rPr>
            <w:lang w:val="pt_PT" w:bidi="pt_PT"/>
          </w:rPr>
          <w:rPr>
            <w:color w:val="0000EE"/>
            <w:u w:val="single"/>
          </w:rPr>
          <w:t>60</w:t>
        </w:r>
      </w:hyperlink>
      <w:r>
        <w:rPr>
          <w:lang w:val="pt_PT" w:bidi="pt_PT"/>
        </w:rPr>
        <w:t xml:space="preserve">, </w:t>
      </w:r>
      <w:hyperlink r:id="rId88">
        <w:r>
          <w:rPr>
            <w:lang w:val="pt_PT" w:bidi="pt_PT"/>
          </w:rPr>
          <w:rPr>
            <w:color w:val="0000EE"/>
            <w:u w:val="single"/>
          </w:rPr>
          <w:t>63</w:t>
        </w:r>
      </w:hyperlink>
      <w:r>
        <w:rPr>
          <w:lang w:val="pt_PT" w:bidi="pt_PT"/>
        </w:rPr>
        <w:t xml:space="preserve">, </w:t>
      </w:r>
      <w:hyperlink r:id="rId89">
        <w:r>
          <w:rPr>
            <w:lang w:val="pt_PT" w:bidi="pt_PT"/>
          </w:rPr>
          <w:rPr>
            <w:color w:val="0000EE"/>
            <w:u w:val="single"/>
          </w:rPr>
          <w:t>142</w:t>
        </w:r>
      </w:hyperlink>
      <w:r>
        <w:rPr>
          <w:lang w:val="pt_PT" w:bidi="pt_PT"/>
        </w:rPr>
        <w:t xml:space="preserve">) fornecem pouca ou nenhuma conexão específica com esses episódios. Por exemplo, o título no </w:t>
      </w:r>
      <w:hyperlink r:id="rId81">
        <w:r>
          <w:rPr>
            <w:lang w:val="pt_PT" w:bidi="pt_PT"/>
          </w:rPr>
          <w:rPr>
            <w:color w:val="0000EE"/>
            <w:u w:val="single"/>
          </w:rPr>
          <w:t>Sl 51</w:t>
        </w:r>
      </w:hyperlink>
      <w:r>
        <w:rPr>
          <w:lang w:val="pt_PT" w:bidi="pt_PT"/>
        </w:rP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90">
        <w:r>
          <w:rPr>
            <w:lang w:val="pt_PT" w:bidi="pt_PT"/>
          </w:rPr>
          <w:rPr>
            <w:color w:val="0000EE"/>
            <w:u w:val="single"/>
          </w:rPr>
          <w:t>Sl 5.7</w:t>
        </w:r>
      </w:hyperlink>
      <w:r>
        <w:rPr>
          <w:lang w:val="pt_PT" w:bidi="pt_PT"/>
        </w:rPr>
        <w:t xml:space="preserve">; </w:t>
      </w:r>
      <w:hyperlink r:id="rId91">
        <w:r>
          <w:rPr>
            <w:lang w:val="pt_PT" w:bidi="pt_PT"/>
          </w:rPr>
          <w:rPr>
            <w:color w:val="0000EE"/>
            <w:u w:val="single"/>
          </w:rPr>
          <w:t>122.título</w:t>
        </w:r>
      </w:hyperlink>
      <w:r>
        <w:rPr>
          <w:lang w:val="pt_PT" w:bidi="pt_PT"/>
        </w:rPr>
        <w:t xml:space="preserve">; </w:t>
      </w:r>
      <w:hyperlink r:id="rId92">
        <w:r>
          <w:rPr>
            <w:lang w:val="pt_PT" w:bidi="pt_PT"/>
          </w:rPr>
          <w:rPr>
            <w:color w:val="0000EE"/>
            <w:u w:val="single"/>
          </w:rPr>
          <w:t>138.2</w:t>
        </w:r>
      </w:hyperlink>
      <w:r>
        <w:rPr>
          <w:lang w:val="pt_PT" w:bidi="pt_PT"/>
        </w:rPr>
        <w:t xml:space="preserve">). Da mesma forma, o título do </w:t>
      </w:r>
      <w:hyperlink r:id="rId93">
        <w:r>
          <w:rPr>
            <w:lang w:val="pt_PT" w:bidi="pt_PT"/>
          </w:rPr>
          <w:rPr>
            <w:color w:val="0000EE"/>
            <w:u w:val="single"/>
          </w:rPr>
          <w:t>Sl 30</w:t>
        </w:r>
      </w:hyperlink>
      <w:r>
        <w:rPr>
          <w:lang w:val="pt_PT" w:bidi="pt_PT"/>
        </w:rPr>
        <w:t xml:space="preserve"> conecta Davi com a dedicação do Templo, e o </w:t>
      </w:r>
      <w:hyperlink r:id="rId94">
        <w:r>
          <w:rPr>
            <w:lang w:val="pt_PT" w:bidi="pt_PT"/>
          </w:rPr>
          <w:rPr>
            <w:color w:val="0000EE"/>
            <w:u w:val="single"/>
          </w:rPr>
          <w:t>Sl 69</w:t>
        </w:r>
      </w:hyperlink>
      <w:r>
        <w:rPr>
          <w:lang w:val="pt_PT" w:bidi="pt_PT"/>
        </w:rPr>
        <w:t xml:space="preserve"> não parece se encaixar com o que se sabe da vida de Davi. Finalmente, algumas tradições textuais variam na menção de Davi no cabeçalho (por exemplo, </w:t>
      </w:r>
      <w:hyperlink r:id="rId95">
        <w:r>
          <w:rPr>
            <w:lang w:val="pt_PT" w:bidi="pt_PT"/>
          </w:rPr>
          <w:rPr>
            <w:color w:val="0000EE"/>
            <w:u w:val="single"/>
          </w:rPr>
          <w:t>Sl 122</w:t>
        </w:r>
      </w:hyperlink>
      <w:r>
        <w:rPr>
          <w:lang w:val="pt_PT" w:bidi="pt_PT"/>
        </w:rPr>
        <w:t xml:space="preserve">, </w:t>
      </w:r>
      <w:hyperlink r:id="rId96">
        <w:r>
          <w:rPr>
            <w:lang w:val="pt_PT" w:bidi="pt_PT"/>
          </w:rPr>
          <w:rPr>
            <w:color w:val="0000EE"/>
            <w:u w:val="single"/>
          </w:rPr>
          <w:t>124</w:t>
        </w:r>
      </w:hyperlink>
      <w:r>
        <w:rPr>
          <w:lang w:val="pt_PT" w:bidi="pt_PT"/>
        </w:rP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2"/>
      </w:pPr>
      <w:r>
        <w:rPr>
          <w:lang w:val="pt_PT" w:bidi="pt_PT"/>
        </w:rPr>
        <w:t>Questões literárias</w:t>
      </w:r>
    </w:p>
    <w:p>
      <w:pPr/>
      <w:r>
        <w:rPr>
          <w:lang w:val="pt_PT" w:bidi="pt_PT"/>
        </w:rPr>
      </w:r>
      <w:r>
        <w:rPr>
          <w:lang w:val="pt_PT" w:bidi="pt_PT"/>
        </w:rPr>
        <w:t xml:space="preserve">O título </w:t>
      </w:r>
      <w:r>
        <w:rPr>
          <w:i/>
          <w:lang w:val="pt_PT" w:bidi="pt_PT"/>
        </w:rPr>
        <w:t>Salmos</w:t>
      </w:r>
      <w:r>
        <w:rPr>
          <w:lang w:val="pt_PT" w:bidi="pt_PT"/>
        </w:rPr>
        <w:t xml:space="preserve"> vem da palavra grega psalmos (“canção”; ver </w:t>
      </w:r>
      <w:hyperlink r:id="rId67">
        <w:r>
          <w:rPr>
            <w:lang w:val="pt_PT" w:bidi="pt_PT"/>
          </w:rPr>
          <w:rPr>
            <w:color w:val="0000EE"/>
            <w:u w:val="single"/>
          </w:rPr>
          <w:t>Lc 20.42</w:t>
        </w:r>
      </w:hyperlink>
      <w:r>
        <w:rPr>
          <w:lang w:val="pt_PT" w:bidi="pt_PT"/>
        </w:rPr>
        <w:t xml:space="preserve">; </w:t>
      </w:r>
      <w:hyperlink r:id="rId69">
        <w:r>
          <w:rPr>
            <w:lang w:val="pt_PT" w:bidi="pt_PT"/>
          </w:rPr>
          <w:rPr>
            <w:color w:val="0000EE"/>
            <w:u w:val="single"/>
          </w:rPr>
          <w:t>24.44</w:t>
        </w:r>
      </w:hyperlink>
      <w:r>
        <w:rPr>
          <w:lang w:val="pt_PT" w:bidi="pt_PT"/>
        </w:rPr>
        <w:t xml:space="preserve">), que traduz o hebraico mizmor, uma palavra frequentemente encontrada nos títulos de salmos individuais (por exemplo, ver </w:t>
      </w:r>
      <w:hyperlink r:id="rId97">
        <w:r>
          <w:rPr>
            <w:lang w:val="pt_PT" w:bidi="pt_PT"/>
          </w:rPr>
          <w:rPr>
            <w:color w:val="0000EE"/>
            <w:u w:val="single"/>
          </w:rPr>
          <w:t>Sl 3:título</w:t>
        </w:r>
      </w:hyperlink>
      <w:r>
        <w:rPr>
          <w:lang w:val="pt_PT" w:bidi="pt_PT"/>
        </w:rP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pPr/>
      <w:r>
        <w:rPr>
          <w:lang w:val="pt_PT" w:bidi="pt_PT"/>
        </w:rPr>
      </w:r>
      <w:r>
        <w:rPr>
          <w:lang w:val="pt_PT" w:bidi="pt_PT"/>
        </w:rP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pPr/>
      <w:r>
        <w:rPr>
          <w:lang w:val="pt_PT" w:bidi="pt_PT"/>
        </w:rPr>
      </w:r>
      <w:r>
        <w:rPr>
          <w:lang w:val="pt_PT" w:bidi="pt_PT"/>
        </w:rPr>
        <w:t>Nas edições em hebraico, os títulos dos salmos são tipicamente numerados como versículo 1. Como resultado, os números dos versículos para muitos salmos inteiros diferem em um versículo em relação à maioria das traduções em inglês.</w:t>
      </w:r>
    </w:p>
    <w:p>
      <w:pPr/>
      <w:r>
        <w:rPr>
          <w:lang w:val="pt_PT" w:bidi="pt_PT"/>
        </w:rPr>
      </w:r>
      <w:r>
        <w:rPr>
          <w:lang w:val="pt_PT" w:bidi="pt_PT"/>
        </w:rPr>
        <w:t>Interlúdio (Hebraico Selah). Esta palavra aparece ao longo do livro de Salmos. O significado da palavra é incerto, mas provavelmente é um termo musical ou literário. Na NTLH, esta palavra é omitida. A ARC apresenta "(Selá)" (entre parênteses).</w:t>
      </w:r>
    </w:p>
    <w:p>
      <w:pPr/>
      <w:r>
        <w:rPr>
          <w:lang w:val="pt_PT" w:bidi="pt_PT"/>
        </w:rPr>
      </w:r>
      <w:r>
        <w:rPr>
          <w:lang w:val="pt_PT" w:bidi="pt_PT"/>
        </w:rPr>
        <w:t>Agrupamentos dos Salmos. Os salmos podem ser agrupados de diversas formas:</w:t>
      </w:r>
    </w:p>
    <w:p>
      <w:pPr>
        <w:pStyle w:val="ListBullet"/>
        <w:spacing w:line="240" w:lineRule="auto"/>
        <w:ind w:left="720"/>
      </w:pPr>
      <w:r>
        <w:rPr>
          <w:lang w:val="pt_PT" w:bidi="pt_PT"/>
        </w:rPr>
      </w:r>
      <w:r>
        <w:rPr>
          <w:lang w:val="pt_PT" w:bidi="pt_PT"/>
        </w:rPr>
        <w:t xml:space="preserve">Pelos nomes que usam para Deus: Yahweh (“o Senhor”, </w:t>
      </w:r>
      <w:hyperlink r:id="rId18">
        <w:r>
          <w:rPr>
            <w:lang w:val="pt_PT" w:bidi="pt_PT"/>
          </w:rPr>
          <w:rPr>
            <w:color w:val="0000EE"/>
            <w:u w:val="single"/>
          </w:rPr>
          <w:t>Sl 1–41</w:t>
        </w:r>
      </w:hyperlink>
      <w:r>
        <w:rPr>
          <w:lang w:val="pt_PT" w:bidi="pt_PT"/>
        </w:rPr>
        <w:t xml:space="preserve">) e Elohim (“Deus”, </w:t>
      </w:r>
      <w:hyperlink r:id="rId20">
        <w:r>
          <w:rPr>
            <w:lang w:val="pt_PT" w:bidi="pt_PT"/>
          </w:rPr>
          <w:rPr>
            <w:color w:val="0000EE"/>
            <w:u w:val="single"/>
          </w:rPr>
          <w:t>Sl 42–72</w:t>
        </w:r>
      </w:hyperlink>
      <w:r>
        <w:rPr>
          <w:lang w:val="pt_PT" w:bidi="pt_PT"/>
        </w:rPr>
        <w:t>).</w:t>
      </w:r>
    </w:p>
    <w:p>
      <w:pPr>
        <w:pStyle w:val="ListBullet"/>
        <w:spacing w:line="240" w:lineRule="auto"/>
        <w:ind w:left="720"/>
      </w:pPr>
      <w:r>
        <w:rPr>
          <w:lang w:val="pt_PT" w:bidi="pt_PT"/>
        </w:rPr>
      </w:r>
      <w:r>
        <w:rPr>
          <w:lang w:val="pt_PT" w:bidi="pt_PT"/>
        </w:rPr>
        <w:t>Pelos nomes nos títulos: Davi (</w:t>
      </w:r>
      <w:hyperlink r:id="rId27">
        <w:r>
          <w:rPr>
            <w:lang w:val="pt_PT" w:bidi="pt_PT"/>
          </w:rPr>
          <w:rPr>
            <w:color w:val="0000EE"/>
            <w:u w:val="single"/>
          </w:rPr>
          <w:t>Sl 3–32</w:t>
        </w:r>
      </w:hyperlink>
      <w:r>
        <w:rPr>
          <w:lang w:val="pt_PT" w:bidi="pt_PT"/>
        </w:rPr>
        <w:t xml:space="preserve">; </w:t>
      </w:r>
      <w:hyperlink r:id="rId28">
        <w:r>
          <w:rPr>
            <w:lang w:val="pt_PT" w:bidi="pt_PT"/>
          </w:rPr>
          <w:rPr>
            <w:color w:val="0000EE"/>
            <w:u w:val="single"/>
          </w:rPr>
          <w:t>34.1–41.13</w:t>
        </w:r>
      </w:hyperlink>
      <w:r>
        <w:rPr>
          <w:lang w:val="pt_PT" w:bidi="pt_PT"/>
        </w:rPr>
        <w:t>, etc.), os descendentes de Corá (</w:t>
      </w:r>
      <w:hyperlink r:id="rId29">
        <w:r>
          <w:rPr>
            <w:lang w:val="pt_PT" w:bidi="pt_PT"/>
          </w:rPr>
          <w:rPr>
            <w:color w:val="0000EE"/>
            <w:u w:val="single"/>
          </w:rPr>
          <w:t>Sl 42–49</w:t>
        </w:r>
      </w:hyperlink>
      <w:r>
        <w:rPr>
          <w:lang w:val="pt_PT" w:bidi="pt_PT"/>
        </w:rPr>
        <w:t xml:space="preserve">; </w:t>
      </w:r>
      <w:hyperlink r:id="rId37">
        <w:r>
          <w:rPr>
            <w:lang w:val="pt_PT" w:bidi="pt_PT"/>
          </w:rPr>
          <w:rPr>
            <w:color w:val="0000EE"/>
            <w:u w:val="single"/>
          </w:rPr>
          <w:t>84.1–85.13</w:t>
        </w:r>
      </w:hyperlink>
      <w:r>
        <w:rPr>
          <w:lang w:val="pt_PT" w:bidi="pt_PT"/>
        </w:rPr>
        <w:t xml:space="preserve">; </w:t>
      </w:r>
      <w:hyperlink r:id="rId38">
        <w:r>
          <w:rPr>
            <w:lang w:val="pt_PT" w:bidi="pt_PT"/>
          </w:rPr>
          <w:rPr>
            <w:color w:val="0000EE"/>
            <w:u w:val="single"/>
          </w:rPr>
          <w:t>87.1–88.18</w:t>
        </w:r>
      </w:hyperlink>
      <w:r>
        <w:rPr>
          <w:lang w:val="pt_PT" w:bidi="pt_PT"/>
        </w:rPr>
        <w:t>), e Asafe (</w:t>
      </w:r>
      <w:hyperlink r:id="rId30">
        <w:r>
          <w:rPr>
            <w:lang w:val="pt_PT" w:bidi="pt_PT"/>
          </w:rPr>
          <w:rPr>
            <w:color w:val="0000EE"/>
            <w:u w:val="single"/>
          </w:rPr>
          <w:t>Sl 50</w:t>
        </w:r>
      </w:hyperlink>
      <w:r>
        <w:rPr>
          <w:lang w:val="pt_PT" w:bidi="pt_PT"/>
        </w:rPr>
        <w:t xml:space="preserve">, </w:t>
      </w:r>
      <w:hyperlink r:id="rId36">
        <w:r>
          <w:rPr>
            <w:lang w:val="pt_PT" w:bidi="pt_PT"/>
          </w:rPr>
          <w:rPr>
            <w:color w:val="0000EE"/>
            <w:u w:val="single"/>
          </w:rPr>
          <w:t>73–83</w:t>
        </w:r>
      </w:hyperlink>
      <w:r>
        <w:rPr>
          <w:lang w:val="pt_PT" w:bidi="pt_PT"/>
        </w:rPr>
        <w:t>).</w:t>
      </w:r>
    </w:p>
    <w:p>
      <w:pPr>
        <w:pStyle w:val="ListBullet"/>
        <w:spacing w:line="240" w:lineRule="auto"/>
        <w:ind w:left="720"/>
      </w:pPr>
      <w:r>
        <w:rPr>
          <w:lang w:val="pt_PT" w:bidi="pt_PT"/>
        </w:rPr>
      </w:r>
      <w:r>
        <w:rPr>
          <w:lang w:val="pt_PT" w:bidi="pt_PT"/>
        </w:rPr>
        <w:t>Por gênero (consulte abaixo).</w:t>
      </w:r>
    </w:p>
    <w:p>
      <w:pPr>
        <w:pStyle w:val="ListBullet"/>
        <w:spacing w:line="240" w:lineRule="auto"/>
        <w:ind w:left="720"/>
      </w:pPr>
      <w:r>
        <w:rPr>
          <w:lang w:val="pt_PT" w:bidi="pt_PT"/>
        </w:rPr>
      </w:r>
      <w:r>
        <w:rPr>
          <w:lang w:val="pt_PT" w:bidi="pt_PT"/>
        </w:rPr>
        <w:t xml:space="preserve">Pelas coleções das quais já fazem parte: por exemplo, os </w:t>
      </w:r>
      <w:r>
        <w:rPr>
          <w:i/>
          <w:lang w:val="pt_PT" w:bidi="pt_PT"/>
        </w:rPr>
        <w:t>Cânticos de Ascensão</w:t>
      </w:r>
      <w:r>
        <w:rPr>
          <w:lang w:val="pt_PT" w:bidi="pt_PT"/>
        </w:rPr>
        <w:t xml:space="preserve"> (</w:t>
      </w:r>
      <w:hyperlink r:id="rId51">
        <w:r>
          <w:rPr>
            <w:lang w:val="pt_PT" w:bidi="pt_PT"/>
          </w:rPr>
          <w:rPr>
            <w:color w:val="0000EE"/>
            <w:u w:val="single"/>
          </w:rPr>
          <w:t>Sl 120–134</w:t>
        </w:r>
      </w:hyperlink>
      <w:r>
        <w:rPr>
          <w:lang w:val="pt_PT" w:bidi="pt_PT"/>
        </w:rPr>
        <w:t xml:space="preserve">). Outras coleções foram reconhecidas na tradição judaica, como o </w:t>
      </w:r>
      <w:r>
        <w:rPr>
          <w:i/>
          <w:lang w:val="pt_PT" w:bidi="pt_PT"/>
        </w:rPr>
        <w:t>Hallel Egípcio</w:t>
      </w:r>
      <w:r>
        <w:rPr>
          <w:lang w:val="pt_PT" w:bidi="pt_PT"/>
        </w:rPr>
        <w:t xml:space="preserve"> (</w:t>
      </w:r>
      <w:hyperlink r:id="rId48">
        <w:r>
          <w:rPr>
            <w:lang w:val="pt_PT" w:bidi="pt_PT"/>
          </w:rPr>
          <w:rPr>
            <w:color w:val="0000EE"/>
            <w:u w:val="single"/>
          </w:rPr>
          <w:t>Sal 113–118</w:t>
        </w:r>
      </w:hyperlink>
      <w:r>
        <w:rPr>
          <w:lang w:val="pt_PT" w:bidi="pt_PT"/>
        </w:rPr>
        <w:t>) e os hinos de aleluia (</w:t>
      </w:r>
      <w:hyperlink r:id="rId53">
        <w:r>
          <w:rPr>
            <w:lang w:val="pt_PT" w:bidi="pt_PT"/>
          </w:rPr>
          <w:rPr>
            <w:color w:val="0000EE"/>
            <w:u w:val="single"/>
          </w:rPr>
          <w:t>Sl 146–150</w:t>
        </w:r>
      </w:hyperlink>
      <w:r>
        <w:rPr>
          <w:lang w:val="pt_PT" w:bidi="pt_PT"/>
        </w:rPr>
        <w:t>).</w:t>
      </w:r>
    </w:p>
    <w:p>
      <w:pPr>
        <w:pStyle w:val="ListBullet"/>
        <w:spacing w:line="240" w:lineRule="auto"/>
        <w:ind w:left="720"/>
      </w:pPr>
      <w:r>
        <w:rPr>
          <w:lang w:val="pt_PT" w:bidi="pt_PT"/>
        </w:rPr>
      </w:r>
      <w:r>
        <w:rPr>
          <w:lang w:val="pt_PT" w:bidi="pt_PT"/>
        </w:rPr>
        <w:t>Por conexões temáticas: por exemplo, a realeza de Deus (</w:t>
      </w:r>
      <w:hyperlink r:id="rId43">
        <w:r>
          <w:rPr>
            <w:lang w:val="pt_PT" w:bidi="pt_PT"/>
          </w:rPr>
          <w:rPr>
            <w:color w:val="0000EE"/>
            <w:u w:val="single"/>
          </w:rPr>
          <w:t>Sl 93–100</w:t>
        </w:r>
      </w:hyperlink>
      <w:r>
        <w:rPr>
          <w:lang w:val="pt_PT" w:bidi="pt_PT"/>
        </w:rPr>
        <w:t>), ou a narrativa da criação ao exílio (</w:t>
      </w:r>
      <w:hyperlink r:id="rId46">
        <w:r>
          <w:rPr>
            <w:lang w:val="pt_PT" w:bidi="pt_PT"/>
          </w:rPr>
          <w:rPr>
            <w:color w:val="0000EE"/>
            <w:u w:val="single"/>
          </w:rPr>
          <w:t>Sl 104–106</w:t>
        </w:r>
      </w:hyperlink>
      <w:r>
        <w:rPr>
          <w:lang w:val="pt_PT" w:bidi="pt_PT"/>
        </w:rPr>
        <w:t>).</w:t>
      </w:r>
    </w:p>
    <w:p>
      <w:pPr/>
      <w:r>
        <w:rPr>
          <w:lang w:val="pt_PT" w:bidi="pt_PT"/>
        </w:rPr>
      </w:r>
      <w:r>
        <w:rPr>
          <w:lang w:val="pt_PT" w:bidi="pt_PT"/>
        </w:rP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8">
        <w:r>
          <w:rPr>
            <w:lang w:val="pt_PT" w:bidi="pt_PT"/>
          </w:rPr>
          <w:rPr>
            <w:color w:val="0000EE"/>
            <w:u w:val="single"/>
          </w:rPr>
          <w:t>Sl 32</w:t>
        </w:r>
      </w:hyperlink>
      <w:r>
        <w:rPr>
          <w:lang w:val="pt_PT" w:bidi="pt_PT"/>
        </w:rPr>
        <w:t xml:space="preserve">; </w:t>
      </w:r>
      <w:hyperlink r:id="rId99">
        <w:r>
          <w:rPr>
            <w:lang w:val="pt_PT" w:bidi="pt_PT"/>
          </w:rPr>
          <w:rPr>
            <w:color w:val="0000EE"/>
            <w:u w:val="single"/>
          </w:rPr>
          <w:t>42</w:t>
        </w:r>
      </w:hyperlink>
      <w:r>
        <w:rPr>
          <w:lang w:val="pt_PT" w:bidi="pt_PT"/>
        </w:rPr>
        <w:t xml:space="preserve">; </w:t>
      </w:r>
      <w:hyperlink r:id="rId100">
        <w:r>
          <w:rPr>
            <w:lang w:val="pt_PT" w:bidi="pt_PT"/>
          </w:rPr>
          <w:rPr>
            <w:color w:val="0000EE"/>
            <w:u w:val="single"/>
          </w:rPr>
          <w:t>44–45</w:t>
        </w:r>
      </w:hyperlink>
      <w:r>
        <w:rPr>
          <w:lang w:val="pt_PT" w:bidi="pt_PT"/>
        </w:rPr>
        <w:t xml:space="preserve">; </w:t>
      </w:r>
      <w:hyperlink r:id="rId101">
        <w:r>
          <w:rPr>
            <w:lang w:val="pt_PT" w:bidi="pt_PT"/>
          </w:rPr>
          <w:rPr>
            <w:color w:val="0000EE"/>
            <w:u w:val="single"/>
          </w:rPr>
          <w:t>52–55</w:t>
        </w:r>
      </w:hyperlink>
      <w:r>
        <w:rPr>
          <w:lang w:val="pt_PT" w:bidi="pt_PT"/>
        </w:rPr>
        <w:t xml:space="preserve">; </w:t>
      </w:r>
      <w:hyperlink r:id="rId102">
        <w:r>
          <w:rPr>
            <w:lang w:val="pt_PT" w:bidi="pt_PT"/>
          </w:rPr>
          <w:rPr>
            <w:color w:val="0000EE"/>
            <w:u w:val="single"/>
          </w:rPr>
          <w:t>74</w:t>
        </w:r>
      </w:hyperlink>
      <w:r>
        <w:rPr>
          <w:lang w:val="pt_PT" w:bidi="pt_PT"/>
        </w:rPr>
        <w:t xml:space="preserve">; </w:t>
      </w:r>
      <w:hyperlink r:id="rId103">
        <w:r>
          <w:rPr>
            <w:lang w:val="pt_PT" w:bidi="pt_PT"/>
          </w:rPr>
          <w:rPr>
            <w:color w:val="0000EE"/>
            <w:u w:val="single"/>
          </w:rPr>
          <w:t>88–89</w:t>
        </w:r>
      </w:hyperlink>
      <w:r>
        <w:rPr>
          <w:lang w:val="pt_PT" w:bidi="pt_PT"/>
        </w:rPr>
        <w:t xml:space="preserve">), miktam (“salmo” ou “cântico”: </w:t>
      </w:r>
      <w:hyperlink r:id="rId104">
        <w:r>
          <w:rPr>
            <w:lang w:val="pt_PT" w:bidi="pt_PT"/>
          </w:rPr>
          <w:rPr>
            <w:color w:val="0000EE"/>
            <w:u w:val="single"/>
          </w:rPr>
          <w:t>Sl 16</w:t>
        </w:r>
      </w:hyperlink>
      <w:r>
        <w:rPr>
          <w:lang w:val="pt_PT" w:bidi="pt_PT"/>
        </w:rPr>
        <w:t xml:space="preserve">; </w:t>
      </w:r>
      <w:hyperlink r:id="rId105">
        <w:r>
          <w:rPr>
            <w:lang w:val="pt_PT" w:bidi="pt_PT"/>
          </w:rPr>
          <w:rPr>
            <w:color w:val="0000EE"/>
            <w:u w:val="single"/>
          </w:rPr>
          <w:t>56–60</w:t>
        </w:r>
      </w:hyperlink>
      <w:r>
        <w:rPr>
          <w:lang w:val="pt_PT" w:bidi="pt_PT"/>
        </w:rPr>
        <w:t xml:space="preserve">), shir (“canção”: </w:t>
      </w:r>
      <w:hyperlink r:id="rId106">
        <w:r>
          <w:rPr>
            <w:lang w:val="pt_PT" w:bidi="pt_PT"/>
          </w:rPr>
          <w:rPr>
            <w:color w:val="0000EE"/>
            <w:u w:val="single"/>
          </w:rPr>
          <w:t>Sl 45</w:t>
        </w:r>
      </w:hyperlink>
      <w:r>
        <w:rPr>
          <w:lang w:val="pt_PT" w:bidi="pt_PT"/>
        </w:rPr>
        <w:t xml:space="preserve">; </w:t>
      </w:r>
      <w:hyperlink r:id="rId107">
        <w:r>
          <w:rPr>
            <w:lang w:val="pt_PT" w:bidi="pt_PT"/>
          </w:rPr>
          <w:rPr>
            <w:color w:val="0000EE"/>
            <w:u w:val="single"/>
          </w:rPr>
          <w:t>120–135</w:t>
        </w:r>
      </w:hyperlink>
      <w:r>
        <w:rPr>
          <w:lang w:val="pt_PT" w:bidi="pt_PT"/>
        </w:rPr>
        <w:t xml:space="preserve">), shiggayon (“salmo”, um termo genérico ou musical: </w:t>
      </w:r>
      <w:hyperlink r:id="rId78">
        <w:r>
          <w:rPr>
            <w:lang w:val="pt_PT" w:bidi="pt_PT"/>
          </w:rPr>
          <w:rPr>
            <w:color w:val="0000EE"/>
            <w:u w:val="single"/>
          </w:rPr>
          <w:t>Sl 7</w:t>
        </w:r>
      </w:hyperlink>
      <w:r>
        <w:rPr>
          <w:lang w:val="pt_PT" w:bidi="pt_PT"/>
        </w:rPr>
        <w:t xml:space="preserve">), tepillah (“oração”: </w:t>
      </w:r>
      <w:hyperlink r:id="rId108">
        <w:r>
          <w:rPr>
            <w:lang w:val="pt_PT" w:bidi="pt_PT"/>
          </w:rPr>
          <w:rPr>
            <w:color w:val="0000EE"/>
            <w:u w:val="single"/>
          </w:rPr>
          <w:t>Sl 17</w:t>
        </w:r>
      </w:hyperlink>
      <w:r>
        <w:rPr>
          <w:lang w:val="pt_PT" w:bidi="pt_PT"/>
        </w:rPr>
        <w:t xml:space="preserve">; </w:t>
      </w:r>
      <w:hyperlink r:id="rId39">
        <w:r>
          <w:rPr>
            <w:lang w:val="pt_PT" w:bidi="pt_PT"/>
          </w:rPr>
          <w:rPr>
            <w:color w:val="0000EE"/>
            <w:u w:val="single"/>
          </w:rPr>
          <w:t>86</w:t>
        </w:r>
      </w:hyperlink>
      <w:r>
        <w:rPr>
          <w:lang w:val="pt_PT" w:bidi="pt_PT"/>
        </w:rPr>
        <w:t xml:space="preserve">; </w:t>
      </w:r>
      <w:hyperlink r:id="rId73">
        <w:r>
          <w:rPr>
            <w:lang w:val="pt_PT" w:bidi="pt_PT"/>
          </w:rPr>
          <w:rPr>
            <w:color w:val="0000EE"/>
            <w:u w:val="single"/>
          </w:rPr>
          <w:t>90</w:t>
        </w:r>
      </w:hyperlink>
      <w:r>
        <w:rPr>
          <w:lang w:val="pt_PT" w:bidi="pt_PT"/>
        </w:rPr>
        <w:t xml:space="preserve">), tehillah (“salmo de louvor”: </w:t>
      </w:r>
      <w:hyperlink r:id="rId58">
        <w:r>
          <w:rPr>
            <w:lang w:val="pt_PT" w:bidi="pt_PT"/>
          </w:rPr>
          <w:rPr>
            <w:color w:val="0000EE"/>
            <w:u w:val="single"/>
          </w:rPr>
          <w:t>Sl 145</w:t>
        </w:r>
      </w:hyperlink>
      <w:r>
        <w:rPr>
          <w:lang w:val="pt_PT" w:bidi="pt_PT"/>
        </w:rPr>
        <w:t xml:space="preserve">), higgayon (“meditação”, significado desconhecido: </w:t>
      </w:r>
      <w:hyperlink r:id="rId109">
        <w:r>
          <w:rPr>
            <w:lang w:val="pt_PT" w:bidi="pt_PT"/>
          </w:rPr>
          <w:rPr>
            <w:color w:val="0000EE"/>
            <w:u w:val="single"/>
          </w:rPr>
          <w:t>Sl 9.16</w:t>
        </w:r>
      </w:hyperlink>
      <w:r>
        <w:rPr>
          <w:lang w:val="pt_PT" w:bidi="pt_PT"/>
        </w:rPr>
        <w:t xml:space="preserve">), e todah (“salmo de ação de graças”: </w:t>
      </w:r>
      <w:hyperlink r:id="rId44">
        <w:r>
          <w:rPr>
            <w:lang w:val="pt_PT" w:bidi="pt_PT"/>
          </w:rPr>
          <w:rPr>
            <w:color w:val="0000EE"/>
            <w:u w:val="single"/>
          </w:rPr>
          <w:t>Sl 100</w:t>
        </w:r>
      </w:hyperlink>
      <w:r>
        <w:rPr>
          <w:lang w:val="pt_PT" w:bidi="pt_PT"/>
        </w:rPr>
        <w:t>).</w:t>
      </w:r>
    </w:p>
    <w:p>
      <w:pPr/>
      <w:r>
        <w:rPr>
          <w:lang w:val="pt_PT" w:bidi="pt_PT"/>
        </w:rPr>
      </w:r>
      <w:r>
        <w:rPr>
          <w:lang w:val="pt_PT" w:bidi="pt_PT"/>
        </w:rPr>
        <w:t>Além das identificações de gênero encontradas no texto hebraico, os salmos podem ser divididos em três categorias principais:</w:t>
      </w:r>
    </w:p>
    <w:p>
      <w:pPr>
        <w:pStyle w:val="ListNumber"/>
        <w:numPr>
          <w:ilvl w:val="0"/>
          <w:numId w:val="15"/>
        </w:numPr>
        <w:spacing w:line="240" w:lineRule="auto"/>
        <w:ind w:left="720"/>
      </w:pPr>
      <w:r>
        <w:rPr>
          <w:lang w:val="pt_PT" w:bidi="pt_PT"/>
        </w:rPr>
      </w:r>
      <w:r>
        <w:rPr>
          <w:lang w:val="pt_PT" w:bidi="pt_PT"/>
        </w:rPr>
        <w:t>Salmos de sabedoria ou instrutivos (</w:t>
      </w:r>
      <w:hyperlink r:id="rId16">
        <w:r>
          <w:rPr>
            <w:lang w:val="pt_PT" w:bidi="pt_PT"/>
          </w:rPr>
          <w:rPr>
            <w:color w:val="0000EE"/>
            <w:u w:val="single"/>
          </w:rPr>
          <w:t>Sl 1</w:t>
        </w:r>
      </w:hyperlink>
      <w:r>
        <w:rPr>
          <w:lang w:val="pt_PT" w:bidi="pt_PT"/>
        </w:rPr>
        <w:t xml:space="preserve">, </w:t>
      </w:r>
      <w:hyperlink r:id="rId110">
        <w:r>
          <w:rPr>
            <w:lang w:val="pt_PT" w:bidi="pt_PT"/>
          </w:rPr>
          <w:rPr>
            <w:color w:val="0000EE"/>
            <w:u w:val="single"/>
          </w:rPr>
          <w:t>15</w:t>
        </w:r>
      </w:hyperlink>
      <w:r>
        <w:rPr>
          <w:lang w:val="pt_PT" w:bidi="pt_PT"/>
        </w:rPr>
        <w:t xml:space="preserve">, </w:t>
      </w:r>
      <w:hyperlink r:id="rId111">
        <w:r>
          <w:rPr>
            <w:lang w:val="pt_PT" w:bidi="pt_PT"/>
          </w:rPr>
          <w:rPr>
            <w:color w:val="0000EE"/>
            <w:u w:val="single"/>
          </w:rPr>
          <w:t>24</w:t>
        </w:r>
      </w:hyperlink>
      <w:r>
        <w:rPr>
          <w:lang w:val="pt_PT" w:bidi="pt_PT"/>
        </w:rPr>
        <w:t xml:space="preserve">, </w:t>
      </w:r>
      <w:hyperlink r:id="rId112">
        <w:r>
          <w:rPr>
            <w:lang w:val="pt_PT" w:bidi="pt_PT"/>
          </w:rPr>
          <w:rPr>
            <w:color w:val="0000EE"/>
            <w:u w:val="single"/>
          </w:rPr>
          <w:t>33</w:t>
        </w:r>
      </w:hyperlink>
      <w:r>
        <w:rPr>
          <w:lang w:val="pt_PT" w:bidi="pt_PT"/>
        </w:rPr>
        <w:t xml:space="preserve">, </w:t>
      </w:r>
      <w:hyperlink r:id="rId80">
        <w:r>
          <w:rPr>
            <w:lang w:val="pt_PT" w:bidi="pt_PT"/>
          </w:rPr>
          <w:rPr>
            <w:color w:val="0000EE"/>
            <w:u w:val="single"/>
          </w:rPr>
          <w:t>34</w:t>
        </w:r>
      </w:hyperlink>
      <w:r>
        <w:rPr>
          <w:lang w:val="pt_PT" w:bidi="pt_PT"/>
        </w:rPr>
        <w:t xml:space="preserve">, </w:t>
      </w:r>
      <w:hyperlink r:id="rId113">
        <w:r>
          <w:rPr>
            <w:lang w:val="pt_PT" w:bidi="pt_PT"/>
          </w:rPr>
          <w:rPr>
            <w:color w:val="0000EE"/>
            <w:u w:val="single"/>
          </w:rPr>
          <w:t>37</w:t>
        </w:r>
      </w:hyperlink>
      <w:r>
        <w:rPr>
          <w:lang w:val="pt_PT" w:bidi="pt_PT"/>
        </w:rPr>
        <w:t xml:space="preserve">, </w:t>
      </w:r>
      <w:hyperlink r:id="rId40">
        <w:r>
          <w:rPr>
            <w:lang w:val="pt_PT" w:bidi="pt_PT"/>
          </w:rPr>
          <w:rPr>
            <w:color w:val="0000EE"/>
            <w:u w:val="single"/>
          </w:rPr>
          <w:t>73</w:t>
        </w:r>
      </w:hyperlink>
      <w:r>
        <w:rPr>
          <w:lang w:val="pt_PT" w:bidi="pt_PT"/>
        </w:rPr>
        <w:t xml:space="preserve">, </w:t>
      </w:r>
      <w:hyperlink r:id="rId73">
        <w:r>
          <w:rPr>
            <w:lang w:val="pt_PT" w:bidi="pt_PT"/>
          </w:rPr>
          <w:rPr>
            <w:color w:val="0000EE"/>
            <w:u w:val="single"/>
          </w:rPr>
          <w:t>90</w:t>
        </w:r>
      </w:hyperlink>
      <w:r>
        <w:rPr>
          <w:lang w:val="pt_PT" w:bidi="pt_PT"/>
        </w:rPr>
        <w:t xml:space="preserve">, </w:t>
      </w:r>
      <w:hyperlink r:id="rId54">
        <w:r>
          <w:rPr>
            <w:lang w:val="pt_PT" w:bidi="pt_PT"/>
          </w:rPr>
          <w:rPr>
            <w:color w:val="0000EE"/>
            <w:u w:val="single"/>
          </w:rPr>
          <w:t>107</w:t>
        </w:r>
      </w:hyperlink>
      <w:r>
        <w:rPr>
          <w:lang w:val="pt_PT" w:bidi="pt_PT"/>
        </w:rPr>
        <w:t>)</w:t>
      </w:r>
    </w:p>
    <w:p>
      <w:pPr>
        <w:pStyle w:val="ListNumber"/>
        <w:spacing w:line="240" w:lineRule="auto"/>
        <w:ind w:left="720"/>
      </w:pPr>
      <w:r>
        <w:rPr>
          <w:lang w:val="pt_PT" w:bidi="pt_PT"/>
        </w:rPr>
      </w:r>
      <w:r>
        <w:rPr>
          <w:lang w:val="pt_PT" w:bidi="pt_PT"/>
        </w:rPr>
        <w:t>Salmos de lamento (a maioria dos salmos nos livros 1—3), que podem ser subdivididos em lamentos individuais e lamentos comunitários</w:t>
      </w:r>
    </w:p>
    <w:p>
      <w:pPr>
        <w:pStyle w:val="ListNumber"/>
        <w:spacing w:line="240" w:lineRule="auto"/>
        <w:ind w:left="720"/>
      </w:pPr>
      <w:r>
        <w:rPr>
          <w:lang w:val="pt_PT" w:bidi="pt_PT"/>
        </w:rPr>
      </w:r>
      <w:r>
        <w:rPr>
          <w:lang w:val="pt_PT" w:bidi="pt_PT"/>
        </w:rPr>
        <w:t>Hinos de louvor ou agradecimento (</w:t>
      </w:r>
      <w:hyperlink r:id="rId114">
        <w:r>
          <w:rPr>
            <w:lang w:val="pt_PT" w:bidi="pt_PT"/>
          </w:rPr>
          <w:rPr>
            <w:color w:val="0000EE"/>
            <w:u w:val="single"/>
          </w:rPr>
          <w:t>Sl 8</w:t>
        </w:r>
      </w:hyperlink>
      <w:r>
        <w:rPr>
          <w:lang w:val="pt_PT" w:bidi="pt_PT"/>
        </w:rPr>
        <w:t xml:space="preserve">, </w:t>
      </w:r>
      <w:hyperlink r:id="rId115">
        <w:r>
          <w:rPr>
            <w:lang w:val="pt_PT" w:bidi="pt_PT"/>
          </w:rPr>
          <w:rPr>
            <w:color w:val="0000EE"/>
            <w:u w:val="single"/>
          </w:rPr>
          <w:t>19</w:t>
        </w:r>
      </w:hyperlink>
      <w:r>
        <w:rPr>
          <w:lang w:val="pt_PT" w:bidi="pt_PT"/>
        </w:rPr>
        <w:t xml:space="preserve">, </w:t>
      </w:r>
      <w:hyperlink r:id="rId116">
        <w:r>
          <w:rPr>
            <w:lang w:val="pt_PT" w:bidi="pt_PT"/>
          </w:rPr>
          <w:rPr>
            <w:color w:val="0000EE"/>
            <w:u w:val="single"/>
          </w:rPr>
          <w:t>29</w:t>
        </w:r>
      </w:hyperlink>
      <w:r>
        <w:rPr>
          <w:lang w:val="pt_PT" w:bidi="pt_PT"/>
        </w:rPr>
        <w:t xml:space="preserve">, </w:t>
      </w:r>
      <w:hyperlink r:id="rId117">
        <w:r>
          <w:rPr>
            <w:lang w:val="pt_PT" w:bidi="pt_PT"/>
          </w:rPr>
          <w:rPr>
            <w:color w:val="0000EE"/>
            <w:u w:val="single"/>
          </w:rPr>
          <w:t>65</w:t>
        </w:r>
      </w:hyperlink>
      <w:r>
        <w:rPr>
          <w:lang w:val="pt_PT" w:bidi="pt_PT"/>
        </w:rPr>
        <w:t xml:space="preserve">, </w:t>
      </w:r>
      <w:hyperlink r:id="rId118">
        <w:r>
          <w:rPr>
            <w:lang w:val="pt_PT" w:bidi="pt_PT"/>
          </w:rPr>
          <w:rPr>
            <w:color w:val="0000EE"/>
            <w:u w:val="single"/>
          </w:rPr>
          <w:t>67</w:t>
        </w:r>
      </w:hyperlink>
      <w:r>
        <w:rPr>
          <w:lang w:val="pt_PT" w:bidi="pt_PT"/>
        </w:rPr>
        <w:t xml:space="preserve">, </w:t>
      </w:r>
      <w:hyperlink r:id="rId63">
        <w:r>
          <w:rPr>
            <w:lang w:val="pt_PT" w:bidi="pt_PT"/>
          </w:rPr>
          <w:rPr>
            <w:color w:val="0000EE"/>
            <w:u w:val="single"/>
          </w:rPr>
          <w:t>114</w:t>
        </w:r>
      </w:hyperlink>
      <w:r>
        <w:rPr>
          <w:lang w:val="pt_PT" w:bidi="pt_PT"/>
        </w:rPr>
        <w:t>), que podem ser divididos de forma semelhante em hinos individuais e comunitários.</w:t>
      </w:r>
    </w:p>
    <w:p>
      <w:pPr/>
      <w:r>
        <w:rPr>
          <w:lang w:val="pt_PT" w:bidi="pt_PT"/>
        </w:rPr>
      </w:r>
      <w:r>
        <w:rPr>
          <w:lang w:val="pt_PT" w:bidi="pt_PT"/>
        </w:rPr>
        <w:t>Os salmos de louvor incluem vários subgêneros, como salmos “reais” sobre o rei (</w:t>
      </w:r>
      <w:hyperlink r:id="rId17">
        <w:r>
          <w:rPr>
            <w:lang w:val="pt_PT" w:bidi="pt_PT"/>
          </w:rPr>
          <w:rPr>
            <w:color w:val="0000EE"/>
            <w:u w:val="single"/>
          </w:rPr>
          <w:t>Sl 2</w:t>
        </w:r>
      </w:hyperlink>
      <w:r>
        <w:rPr>
          <w:lang w:val="pt_PT" w:bidi="pt_PT"/>
        </w:rPr>
        <w:t xml:space="preserve">, </w:t>
      </w:r>
      <w:hyperlink r:id="rId106">
        <w:r>
          <w:rPr>
            <w:lang w:val="pt_PT" w:bidi="pt_PT"/>
          </w:rPr>
          <w:rPr>
            <w:color w:val="0000EE"/>
            <w:u w:val="single"/>
          </w:rPr>
          <w:t>45</w:t>
        </w:r>
      </w:hyperlink>
      <w:r>
        <w:rPr>
          <w:lang w:val="pt_PT" w:bidi="pt_PT"/>
        </w:rPr>
        <w:t xml:space="preserve">, </w:t>
      </w:r>
      <w:hyperlink r:id="rId33">
        <w:r>
          <w:rPr>
            <w:lang w:val="pt_PT" w:bidi="pt_PT"/>
          </w:rPr>
          <w:rPr>
            <w:color w:val="0000EE"/>
            <w:u w:val="single"/>
          </w:rPr>
          <w:t>72</w:t>
        </w:r>
      </w:hyperlink>
      <w:r>
        <w:rPr>
          <w:lang w:val="pt_PT" w:bidi="pt_PT"/>
        </w:rPr>
        <w:t xml:space="preserve">, </w:t>
      </w:r>
      <w:hyperlink r:id="rId41">
        <w:r>
          <w:rPr>
            <w:lang w:val="pt_PT" w:bidi="pt_PT"/>
          </w:rPr>
          <w:rPr>
            <w:color w:val="0000EE"/>
            <w:u w:val="single"/>
          </w:rPr>
          <w:t>89</w:t>
        </w:r>
      </w:hyperlink>
      <w:r>
        <w:rPr>
          <w:lang w:val="pt_PT" w:bidi="pt_PT"/>
        </w:rPr>
        <w:t xml:space="preserve">, </w:t>
      </w:r>
      <w:hyperlink r:id="rId119">
        <w:r>
          <w:rPr>
            <w:lang w:val="pt_PT" w:bidi="pt_PT"/>
          </w:rPr>
          <w:rPr>
            <w:color w:val="0000EE"/>
            <w:u w:val="single"/>
          </w:rPr>
          <w:t>110</w:t>
        </w:r>
      </w:hyperlink>
      <w:r>
        <w:rPr>
          <w:lang w:val="pt_PT" w:bidi="pt_PT"/>
        </w:rPr>
        <w:t>); salmos que atribuem realeza ao Senhor (</w:t>
      </w:r>
      <w:hyperlink r:id="rId120">
        <w:r>
          <w:rPr>
            <w:lang w:val="pt_PT" w:bidi="pt_PT"/>
          </w:rPr>
          <w:rPr>
            <w:color w:val="0000EE"/>
            <w:u w:val="single"/>
          </w:rPr>
          <w:t>Sl 93</w:t>
        </w:r>
      </w:hyperlink>
      <w:r>
        <w:rPr>
          <w:lang w:val="pt_PT" w:bidi="pt_PT"/>
        </w:rPr>
        <w:t xml:space="preserve">, </w:t>
      </w:r>
      <w:hyperlink r:id="rId121">
        <w:r>
          <w:rPr>
            <w:lang w:val="pt_PT" w:bidi="pt_PT"/>
          </w:rPr>
          <w:rPr>
            <w:color w:val="0000EE"/>
            <w:u w:val="single"/>
          </w:rPr>
          <w:t>95–99</w:t>
        </w:r>
      </w:hyperlink>
      <w:r>
        <w:rPr>
          <w:lang w:val="pt_PT" w:bidi="pt_PT"/>
        </w:rPr>
        <w:t>); hinos sobre a criação (</w:t>
      </w:r>
      <w:hyperlink r:id="rId115">
        <w:r>
          <w:rPr>
            <w:lang w:val="pt_PT" w:bidi="pt_PT"/>
          </w:rPr>
          <w:rPr>
            <w:color w:val="0000EE"/>
            <w:u w:val="single"/>
          </w:rPr>
          <w:t>Sl 19</w:t>
        </w:r>
      </w:hyperlink>
      <w:r>
        <w:rPr>
          <w:lang w:val="pt_PT" w:bidi="pt_PT"/>
        </w:rPr>
        <w:t xml:space="preserve">, </w:t>
      </w:r>
      <w:hyperlink r:id="rId116">
        <w:r>
          <w:rPr>
            <w:lang w:val="pt_PT" w:bidi="pt_PT"/>
          </w:rPr>
          <w:rPr>
            <w:color w:val="0000EE"/>
            <w:u w:val="single"/>
          </w:rPr>
          <w:t>29</w:t>
        </w:r>
      </w:hyperlink>
      <w:r>
        <w:rPr>
          <w:lang w:val="pt_PT" w:bidi="pt_PT"/>
        </w:rPr>
        <w:t xml:space="preserve">, </w:t>
      </w:r>
      <w:hyperlink r:id="rId122">
        <w:r>
          <w:rPr>
            <w:lang w:val="pt_PT" w:bidi="pt_PT"/>
          </w:rPr>
          <w:rPr>
            <w:color w:val="0000EE"/>
            <w:u w:val="single"/>
          </w:rPr>
          <w:t>104</w:t>
        </w:r>
      </w:hyperlink>
      <w:r>
        <w:rPr>
          <w:lang w:val="pt_PT" w:bidi="pt_PT"/>
        </w:rPr>
        <w:t>); e hinos sobre Sião (</w:t>
      </w:r>
      <w:hyperlink r:id="rId123">
        <w:r>
          <w:rPr>
            <w:lang w:val="pt_PT" w:bidi="pt_PT"/>
          </w:rPr>
          <w:rPr>
            <w:color w:val="0000EE"/>
            <w:u w:val="single"/>
          </w:rPr>
          <w:t>Sl 46</w:t>
        </w:r>
      </w:hyperlink>
      <w:r>
        <w:rPr>
          <w:lang w:val="pt_PT" w:bidi="pt_PT"/>
        </w:rPr>
        <w:t xml:space="preserve">, </w:t>
      </w:r>
      <w:hyperlink r:id="rId124">
        <w:r>
          <w:rPr>
            <w:lang w:val="pt_PT" w:bidi="pt_PT"/>
          </w:rPr>
          <w:rPr>
            <w:color w:val="0000EE"/>
            <w:u w:val="single"/>
          </w:rPr>
          <w:t>48</w:t>
        </w:r>
      </w:hyperlink>
      <w:r>
        <w:rPr>
          <w:lang w:val="pt_PT" w:bidi="pt_PT"/>
        </w:rPr>
        <w:t xml:space="preserve">, </w:t>
      </w:r>
      <w:hyperlink r:id="rId125">
        <w:r>
          <w:rPr>
            <w:lang w:val="pt_PT" w:bidi="pt_PT"/>
          </w:rPr>
          <w:rPr>
            <w:color w:val="0000EE"/>
            <w:u w:val="single"/>
          </w:rPr>
          <w:t>84</w:t>
        </w:r>
      </w:hyperlink>
      <w:r>
        <w:rPr>
          <w:lang w:val="pt_PT" w:bidi="pt_PT"/>
        </w:rPr>
        <w:t xml:space="preserve">, </w:t>
      </w:r>
      <w:hyperlink r:id="rId70">
        <w:r>
          <w:rPr>
            <w:lang w:val="pt_PT" w:bidi="pt_PT"/>
          </w:rPr>
          <w:rPr>
            <w:color w:val="0000EE"/>
            <w:u w:val="single"/>
          </w:rPr>
          <w:t>87</w:t>
        </w:r>
      </w:hyperlink>
      <w:r>
        <w:rPr>
          <w:lang w:val="pt_PT" w:bidi="pt_PT"/>
        </w:rPr>
        <w:t>).</w:t>
      </w:r>
    </w:p>
    <w:p>
      <w:pPr/>
      <w:r>
        <w:rPr>
          <w:lang w:val="pt_PT" w:bidi="pt_PT"/>
        </w:rPr>
      </w:r>
      <w:r>
        <w:rPr>
          <w:lang w:val="pt_PT" w:bidi="pt_PT"/>
        </w:rP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6">
        <w:r>
          <w:rPr>
            <w:lang w:val="pt_PT" w:bidi="pt_PT"/>
          </w:rPr>
          <w:rPr>
            <w:color w:val="0000EE"/>
            <w:u w:val="single"/>
          </w:rPr>
          <w:t>1.2</w:t>
        </w:r>
      </w:hyperlink>
      <w:r>
        <w:rPr>
          <w:lang w:val="pt_PT" w:bidi="pt_PT"/>
        </w:rPr>
        <w:t>) e tem o propósito de ensinar o povo de Deus a viver.</w:t>
      </w:r>
    </w:p>
    <w:p>
      <w:pPr>
        <w:pStyle w:val="Heading2"/>
      </w:pPr>
      <w:r>
        <w:rPr>
          <w:lang w:val="pt_PT" w:bidi="pt_PT"/>
        </w:rPr>
        <w:t>Os salmos na adoração em Israel</w:t>
      </w:r>
    </w:p>
    <w:p>
      <w:pPr/>
      <w:r>
        <w:rPr>
          <w:lang w:val="pt_PT" w:bidi="pt_PT"/>
        </w:rPr>
      </w:r>
      <w:r>
        <w:rPr>
          <w:lang w:val="pt_PT" w:bidi="pt_PT"/>
        </w:rPr>
        <w:t>O livro dos Salmos contém muitas informações sobre a criação musical na antiga Israel. A maioria dos salmos são cânticos de louvor, agradecimento, oração e arrependimento. Alguns dos salmos eram usados em ocasiões específicas, como na Páscoa (</w:t>
      </w:r>
      <w:hyperlink r:id="rId48">
        <w:r>
          <w:rPr>
            <w:lang w:val="pt_PT" w:bidi="pt_PT"/>
          </w:rPr>
          <w:rPr>
            <w:color w:val="0000EE"/>
            <w:u w:val="single"/>
          </w:rPr>
          <w:t>Sl 113–118</w:t>
        </w:r>
      </w:hyperlink>
      <w:r>
        <w:rPr>
          <w:lang w:val="pt_PT" w:bidi="pt_PT"/>
        </w:rPr>
        <w:t>), ou durante a jornada para Jerusalém para os festivais anuais (</w:t>
      </w:r>
      <w:hyperlink r:id="rId51">
        <w:r>
          <w:rPr>
            <w:lang w:val="pt_PT" w:bidi="pt_PT"/>
          </w:rPr>
          <w:rPr>
            <w:color w:val="0000EE"/>
            <w:u w:val="single"/>
          </w:rPr>
          <w:t>Sl 120–134</w:t>
        </w:r>
      </w:hyperlink>
      <w:r>
        <w:rPr>
          <w:lang w:val="pt_PT" w:bidi="pt_PT"/>
        </w:rPr>
        <w:t xml:space="preserve">). Existem também odes históricas que relatam grandes eventos nacionais (por exemplo, </w:t>
      </w:r>
      <w:hyperlink r:id="rId93">
        <w:r>
          <w:rPr>
            <w:lang w:val="pt_PT" w:bidi="pt_PT"/>
          </w:rPr>
          <w:rPr>
            <w:color w:val="0000EE"/>
            <w:u w:val="single"/>
          </w:rPr>
          <w:t>Sl 30</w:t>
        </w:r>
      </w:hyperlink>
      <w:r>
        <w:rPr>
          <w:lang w:val="pt_PT" w:bidi="pt_PT"/>
        </w:rPr>
        <w:t xml:space="preserve">, "um cântico para a dedicação do Templo", e </w:t>
      </w:r>
      <w:hyperlink r:id="rId127">
        <w:r>
          <w:rPr>
            <w:lang w:val="pt_PT" w:bidi="pt_PT"/>
          </w:rPr>
          <w:rPr>
            <w:color w:val="0000EE"/>
            <w:u w:val="single"/>
          </w:rPr>
          <w:t>Sl 137</w:t>
        </w:r>
      </w:hyperlink>
      <w:r>
        <w:rPr>
          <w:lang w:val="pt_PT" w:bidi="pt_PT"/>
        </w:rPr>
        <w:t>, que retrata os sofrimentos dos judeus no cativeiro). Tais salmos desempenhavam um papel na vida da comunidade; no entanto, a natureza exata desse papel é incerta.</w:t>
      </w:r>
    </w:p>
    <w:p>
      <w:pPr>
        <w:pStyle w:val="Heading2"/>
      </w:pPr>
      <w:r>
        <w:rPr>
          <w:lang w:val="pt_PT" w:bidi="pt_PT"/>
        </w:rPr>
        <w:t>Significado e mensagem</w:t>
      </w:r>
    </w:p>
    <w:p>
      <w:pPr/>
      <w:r>
        <w:rPr>
          <w:lang w:val="pt_PT" w:bidi="pt_PT"/>
        </w:rPr>
      </w:r>
      <w:r>
        <w:rPr>
          <w:lang w:val="pt_PT" w:bidi="pt_PT"/>
        </w:rPr>
        <w:t>Os salmos oferecem janelas para as almas dos antigos santos que os escreveram. Suas reflexões teológicas não são fáceis ou simplórias, mas a fé dos salmistas, quando provada, é purificada.</w:t>
      </w:r>
    </w:p>
    <w:p>
      <w:pPr/>
      <w:r>
        <w:rPr>
          <w:lang w:val="pt_PT" w:bidi="pt_PT"/>
        </w:rPr>
      </w:r>
      <w:r>
        <w:rPr>
          <w:lang w:val="pt_PT" w:bidi="pt_PT"/>
        </w:rP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6">
        <w:r>
          <w:rPr>
            <w:lang w:val="pt_PT" w:bidi="pt_PT"/>
          </w:rPr>
          <w:rPr>
            <w:color w:val="0000EE"/>
            <w:u w:val="single"/>
          </w:rPr>
          <w:t>Sl 1</w:t>
        </w:r>
      </w:hyperlink>
      <w:r>
        <w:rPr>
          <w:lang w:val="pt_PT" w:bidi="pt_PT"/>
        </w:rPr>
        <w:t xml:space="preserve">; </w:t>
      </w:r>
      <w:hyperlink r:id="rId115">
        <w:r>
          <w:rPr>
            <w:lang w:val="pt_PT" w:bidi="pt_PT"/>
          </w:rPr>
          <w:rPr>
            <w:color w:val="0000EE"/>
            <w:u w:val="single"/>
          </w:rPr>
          <w:t>19</w:t>
        </w:r>
      </w:hyperlink>
      <w:r>
        <w:rPr>
          <w:lang w:val="pt_PT" w:bidi="pt_PT"/>
        </w:rPr>
        <w:t xml:space="preserve">; </w:t>
      </w:r>
      <w:hyperlink r:id="rId49">
        <w:r>
          <w:rPr>
            <w:lang w:val="pt_PT" w:bidi="pt_PT"/>
          </w:rPr>
          <w:rPr>
            <w:color w:val="0000EE"/>
            <w:u w:val="single"/>
          </w:rPr>
          <w:t>119</w:t>
        </w:r>
      </w:hyperlink>
      <w:r>
        <w:rPr>
          <w:lang w:val="pt_PT" w:bidi="pt_PT"/>
        </w:rP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pPr/>
      <w:r>
        <w:rPr>
          <w:lang w:val="pt_PT" w:bidi="pt_PT"/>
        </w:rPr>
      </w:r>
      <w:r>
        <w:rPr>
          <w:lang w:val="pt_PT" w:bidi="pt_PT"/>
        </w:rP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8">
        <w:r>
          <w:rPr>
            <w:lang w:val="pt_PT" w:bidi="pt_PT"/>
          </w:rPr>
          <w:rPr>
            <w:color w:val="0000EE"/>
            <w:u w:val="single"/>
          </w:rPr>
          <w:t>Sl 23</w:t>
        </w:r>
      </w:hyperlink>
      <w:r>
        <w:rPr>
          <w:lang w:val="pt_PT" w:bidi="pt_PT"/>
        </w:rPr>
        <w:t>), e por uma glória duradoura. Mesmo os salmos ligados a Davi frequentemente revelam um Davi humilde em vez de vitorioso — humilhado em vez de glorioso. Os salmistas experimentaram alienação e vergonha, e ansiavam por redenção, confiando no Senhor para vindicá-los.</w:t>
      </w:r>
    </w:p>
    <w:p>
      <w:pPr/>
      <w:r>
        <w:rPr>
          <w:lang w:val="pt_PT" w:bidi="pt_PT"/>
        </w:rPr>
      </w:r>
      <w:r>
        <w:rPr>
          <w:lang w:val="pt_PT" w:bidi="pt_PT"/>
        </w:rPr>
        <w:t xml:space="preserve">O Saltério ilustra as falhas de Israel e da dinastia de Davi. Os melhores dos israelitas piedosos e reis foram incapazes de trazer a felicidade e a paz de que </w:t>
      </w:r>
      <w:hyperlink r:id="rId16">
        <w:r>
          <w:rPr>
            <w:lang w:val="pt_PT" w:bidi="pt_PT"/>
          </w:rPr>
          <w:rPr>
            <w:color w:val="0000EE"/>
            <w:u w:val="single"/>
          </w:rPr>
          <w:t>Salmos 1</w:t>
        </w:r>
      </w:hyperlink>
      <w:r>
        <w:rPr>
          <w:lang w:val="pt_PT" w:bidi="pt_PT"/>
        </w:rPr>
        <w:t xml:space="preserve"> e </w:t>
      </w:r>
      <w:hyperlink r:id="rId129">
        <w:r>
          <w:rPr>
            <w:lang w:val="pt_PT" w:bidi="pt_PT"/>
          </w:rPr>
          <w:rPr>
            <w:color w:val="0000EE"/>
            <w:u w:val="single"/>
          </w:rPr>
          <w:t>2</w:t>
        </w:r>
      </w:hyperlink>
      <w:r>
        <w:rPr>
          <w:lang w:val="pt_PT" w:bidi="pt_PT"/>
        </w:rPr>
        <w:t xml:space="preserve"> falam (veja também </w:t>
      </w:r>
      <w:hyperlink r:id="rId33">
        <w:r>
          <w:rPr>
            <w:lang w:val="pt_PT" w:bidi="pt_PT"/>
          </w:rPr>
          <w:rPr>
            <w:color w:val="0000EE"/>
            <w:u w:val="single"/>
          </w:rPr>
          <w:t>Sl 72</w:t>
        </w:r>
      </w:hyperlink>
      <w:r>
        <w:rPr>
          <w:lang w:val="pt_PT" w:bidi="pt_PT"/>
        </w:rPr>
        <w:t>). Os salmos são, portanto, a exortação de Deus a cada pessoa para cultivar sabedoria, confiar nele, viver pela graça e ter esperança naquele que pode trazer bênçãos a um mundo necessitado.</w:t>
      </w:r>
    </w:p>
    <w:p>
      <w:pPr/>
      <w:r>
        <w:rPr>
          <w:lang w:val="pt_PT" w:bidi="pt_PT"/>
        </w:rPr>
      </w:r>
      <w:r>
        <w:rPr>
          <w:lang w:val="pt_PT" w:bidi="pt_PT"/>
        </w:rP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30">
        <w:r>
          <w:rPr>
            <w:lang w:val="pt_PT" w:bidi="pt_PT"/>
          </w:rPr>
          <w:rPr>
            <w:color w:val="0000EE"/>
            <w:u w:val="single"/>
          </w:rPr>
          <w:t>Mt 13.34–35</w:t>
        </w:r>
      </w:hyperlink>
      <w:r>
        <w:rPr>
          <w:lang w:val="pt_PT" w:bidi="pt_PT"/>
        </w:rPr>
        <w:t xml:space="preserve">; </w:t>
      </w:r>
      <w:hyperlink r:id="rId131">
        <w:r>
          <w:rPr>
            <w:lang w:val="pt_PT" w:bidi="pt_PT"/>
          </w:rPr>
          <w:rPr>
            <w:color w:val="0000EE"/>
            <w:u w:val="single"/>
          </w:rPr>
          <w:t>21.16</w:t>
        </w:r>
      </w:hyperlink>
      <w:r>
        <w:rPr>
          <w:lang w:val="pt_PT" w:bidi="pt_PT"/>
        </w:rPr>
        <w:t xml:space="preserve">, </w:t>
      </w:r>
      <w:hyperlink r:id="rId132">
        <w:r>
          <w:rPr>
            <w:lang w:val="pt_PT" w:bidi="pt_PT"/>
          </w:rPr>
          <w:rPr>
            <w:color w:val="0000EE"/>
            <w:u w:val="single"/>
          </w:rPr>
          <w:t>42</w:t>
        </w:r>
      </w:hyperlink>
      <w:r>
        <w:rPr>
          <w:lang w:val="pt_PT" w:bidi="pt_PT"/>
        </w:rPr>
        <w:t xml:space="preserve">; </w:t>
      </w:r>
      <w:hyperlink r:id="rId133">
        <w:r>
          <w:rPr>
            <w:lang w:val="pt_PT" w:bidi="pt_PT"/>
          </w:rPr>
          <w:rPr>
            <w:color w:val="0000EE"/>
            <w:u w:val="single"/>
          </w:rPr>
          <w:t>23.39</w:t>
        </w:r>
      </w:hyperlink>
      <w:r>
        <w:rPr>
          <w:lang w:val="pt_PT" w:bidi="pt_PT"/>
        </w:rPr>
        <w:t xml:space="preserve">; </w:t>
      </w:r>
      <w:hyperlink r:id="rId134">
        <w:r>
          <w:rPr>
            <w:lang w:val="pt_PT" w:bidi="pt_PT"/>
          </w:rPr>
          <w:rPr>
            <w:color w:val="0000EE"/>
            <w:u w:val="single"/>
          </w:rPr>
          <w:t>Jo 2.17</w:t>
        </w:r>
      </w:hyperlink>
      <w:r>
        <w:rPr>
          <w:lang w:val="pt_PT" w:bidi="pt_PT"/>
        </w:rPr>
        <w:t xml:space="preserve">; </w:t>
      </w:r>
      <w:hyperlink r:id="rId135">
        <w:r>
          <w:rPr>
            <w:lang w:val="pt_PT" w:bidi="pt_PT"/>
          </w:rPr>
          <w:rPr>
            <w:color w:val="0000EE"/>
            <w:u w:val="single"/>
          </w:rPr>
          <w:t>15.25</w:t>
        </w:r>
      </w:hyperlink>
      <w:r>
        <w:rPr>
          <w:lang w:val="pt_PT" w:bidi="pt_PT"/>
        </w:rPr>
        <w:t xml:space="preserve">; </w:t>
      </w:r>
      <w:hyperlink r:id="rId136">
        <w:r>
          <w:rPr>
            <w:lang w:val="pt_PT" w:bidi="pt_PT"/>
          </w:rPr>
          <w:rPr>
            <w:color w:val="0000EE"/>
            <w:u w:val="single"/>
          </w:rPr>
          <w:t>19.24</w:t>
        </w:r>
      </w:hyperlink>
      <w:r>
        <w:rPr>
          <w:lang w:val="pt_PT" w:bidi="pt_PT"/>
        </w:rPr>
        <w:t xml:space="preserve">, </w:t>
      </w:r>
      <w:hyperlink r:id="rId137">
        <w:r>
          <w:rPr>
            <w:lang w:val="pt_PT" w:bidi="pt_PT"/>
          </w:rPr>
          <w:rPr>
            <w:color w:val="0000EE"/>
            <w:u w:val="single"/>
          </w:rPr>
          <w:t>28</w:t>
        </w:r>
      </w:hyperlink>
      <w:r>
        <w:rPr>
          <w:lang w:val="pt_PT" w:bidi="pt_PT"/>
        </w:rPr>
        <w:t xml:space="preserve">, </w:t>
      </w:r>
      <w:hyperlink r:id="rId138">
        <w:r>
          <w:rPr>
            <w:lang w:val="pt_PT" w:bidi="pt_PT"/>
          </w:rPr>
          <w:rPr>
            <w:color w:val="0000EE"/>
            <w:u w:val="single"/>
          </w:rPr>
          <w:t>36</w:t>
        </w:r>
      </w:hyperlink>
      <w:r>
        <w:rPr>
          <w:lang w:val="pt_PT" w:bidi="pt_PT"/>
        </w:rPr>
        <w:t xml:space="preserve">; </w:t>
      </w:r>
      <w:hyperlink r:id="rId139">
        <w:r>
          <w:rPr>
            <w:lang w:val="pt_PT" w:bidi="pt_PT"/>
          </w:rPr>
          <w:rPr>
            <w:color w:val="0000EE"/>
            <w:u w:val="single"/>
          </w:rPr>
          <w:t>At 2.22–35</w:t>
        </w:r>
      </w:hyperlink>
      <w:r>
        <w:rPr>
          <w:lang w:val="pt_PT" w:bidi="pt_PT"/>
        </w:rPr>
        <w:t xml:space="preserve">; </w:t>
      </w:r>
      <w:hyperlink r:id="rId140">
        <w:r>
          <w:rPr>
            <w:lang w:val="pt_PT" w:bidi="pt_PT"/>
          </w:rPr>
          <w:rPr>
            <w:color w:val="0000EE"/>
            <w:u w:val="single"/>
          </w:rPr>
          <w:t>4.11</w:t>
        </w:r>
      </w:hyperlink>
      <w:r>
        <w:rPr>
          <w:lang w:val="pt_PT" w:bidi="pt_PT"/>
        </w:rPr>
        <w:t xml:space="preserve">; </w:t>
      </w:r>
      <w:hyperlink r:id="rId141">
        <w:r>
          <w:rPr>
            <w:lang w:val="pt_PT" w:bidi="pt_PT"/>
          </w:rPr>
          <w:rPr>
            <w:color w:val="0000EE"/>
            <w:u w:val="single"/>
          </w:rPr>
          <w:t>13.32–38</w:t>
        </w:r>
      </w:hyperlink>
      <w:r>
        <w:rPr>
          <w:lang w:val="pt_PT" w:bidi="pt_PT"/>
        </w:rPr>
        <w:t xml:space="preserve">; </w:t>
      </w:r>
      <w:hyperlink r:id="rId142">
        <w:r>
          <w:rPr>
            <w:lang w:val="pt_PT" w:bidi="pt_PT"/>
          </w:rPr>
          <w:rPr>
            <w:color w:val="0000EE"/>
            <w:u w:val="single"/>
          </w:rPr>
          <w:t>Rm 15.3</w:t>
        </w:r>
      </w:hyperlink>
      <w:r>
        <w:rPr>
          <w:lang w:val="pt_PT" w:bidi="pt_PT"/>
        </w:rPr>
        <w:t xml:space="preserve">; </w:t>
      </w:r>
      <w:hyperlink r:id="rId143">
        <w:r>
          <w:rPr>
            <w:lang w:val="pt_PT" w:bidi="pt_PT"/>
          </w:rPr>
          <w:rPr>
            <w:color w:val="0000EE"/>
            <w:u w:val="single"/>
          </w:rPr>
          <w:t>1Co 15.25–27</w:t>
        </w:r>
      </w:hyperlink>
      <w:r>
        <w:rPr>
          <w:lang w:val="pt_PT" w:bidi="pt_PT"/>
        </w:rPr>
        <w:t xml:space="preserve">; </w:t>
      </w:r>
      <w:hyperlink r:id="rId144">
        <w:r>
          <w:rPr>
            <w:lang w:val="pt_PT" w:bidi="pt_PT"/>
          </w:rPr>
          <w:rPr>
            <w:color w:val="0000EE"/>
            <w:u w:val="single"/>
          </w:rPr>
          <w:t>Ef 4.7–10</w:t>
        </w:r>
      </w:hyperlink>
      <w:r>
        <w:rPr>
          <w:lang w:val="pt_PT" w:bidi="pt_PT"/>
        </w:rPr>
        <w:t xml:space="preserve">; </w:t>
      </w:r>
      <w:hyperlink r:id="rId145">
        <w:r>
          <w:rPr>
            <w:lang w:val="pt_PT" w:bidi="pt_PT"/>
          </w:rPr>
          <w:rPr>
            <w:color w:val="0000EE"/>
            <w:u w:val="single"/>
          </w:rPr>
          <w:t>1Pe 2.7</w:t>
        </w:r>
      </w:hyperlink>
      <w:r>
        <w:rPr>
          <w:lang w:val="pt_PT" w:bidi="pt_PT"/>
        </w:rPr>
        <w:t>). Jesus entrou no mundo humano e viveu de acordo com os padrões encontrados nos salmos, incluindo humilhação, sofrimento, morte, vindicação e glória. Ele é o único ser humano que agradou completamente a Deus (</w:t>
      </w:r>
      <w:hyperlink r:id="rId16">
        <w:r>
          <w:rPr>
            <w:lang w:val="pt_PT" w:bidi="pt_PT"/>
          </w:rPr>
          <w:rPr>
            <w:color w:val="0000EE"/>
            <w:u w:val="single"/>
          </w:rPr>
          <w:t>Sl 1</w:t>
        </w:r>
      </w:hyperlink>
      <w:r>
        <w:rPr>
          <w:lang w:val="pt_PT" w:bidi="pt_PT"/>
        </w:rPr>
        <w:t>). Ele é o Messias e Rei (</w:t>
      </w:r>
      <w:hyperlink r:id="rId17">
        <w:r>
          <w:rPr>
            <w:lang w:val="pt_PT" w:bidi="pt_PT"/>
          </w:rPr>
          <w:rPr>
            <w:color w:val="0000EE"/>
            <w:u w:val="single"/>
          </w:rPr>
          <w:t>Sl 2</w:t>
        </w:r>
      </w:hyperlink>
      <w:r>
        <w:rPr>
          <w:lang w:val="pt_PT" w:bidi="pt_PT"/>
        </w:rPr>
        <w:t>) que se tornou nosso meio de redenção, felicidade e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