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Habacuque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“Por que você permite a injustiça?” Habacuque perguntou a Deus. “Por que você tolera o mal?” Deus não respondeu diretamente às perguntas de Habacuque. Em vez disso, assim como fez com Jó, Deus deu a Habacuque uma visão de sua divindade. Quer o profeta entendesse ou não os caminhos de Deus, ele podia confiar nele com segurança. As perguntas de Habacuque ecoam nos corações de todas as pessoas tementes a Deus. O livro de Habacuque não oferece respostas fáceis para o problema do mal no mundo. Em vez disso, fornece razões sólidas para exercer fé no Deus soberano, santo e justo, que, em última análise, trará justiça ao seu mundo.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Habacuque viveu durante uma época em que Judá estava há muito tempo sob o poder da Assíria. O Império Assírio havia engolido a maior parte do antigo Oriente Próximo, desde a Mesopotâmia até a cidade capital egípcia de Tebas. Mas, nos dias de Habacuque (final dos anos 600 a.C.), a Assíria estava mostrando sinais de fraqueza que acabariam por selar seu destino. Após concluir campanhas militares em meados dos anos 640 a.C., o rei assírio Assurbanípal tornou-se preocupado com atividades literárias e artísticas. Sua crescente desatenção à administração de seu império trouxe fraqueza no exterior e revoltas internas.</w:t>
      </w:r>
    </w:p>
    <w:p>
      <w:pPr/>
      <w:r>
        <w:rPr>
          <w:lang w:val="pt_PT" w:bidi="pt_PT"/>
        </w:rPr>
      </w:r>
      <w:r>
        <w:rPr>
          <w:lang w:val="pt_PT" w:bidi="pt_PT"/>
        </w:rPr>
        <w:t>Com a morte de Assurbanípal, a Assíria enfrentou uma nova ameaça. Na Babilônia, o rei Nabopolassar (626–605 a.C.) declarou sua independência da Assíria e lançou as bases para um império Neo-Babilônico que duraria quase um século (626–539 a.C.). Nabopolassar conquistou uma a uma das principais cidades da Assíria. A cidade capital de Nínive caiu em 612 a.C., e as forças assírias restantes foram posteriormente derrotadas em Harã (609 a.C.) e Carquemis (605 a.C.).</w:t>
      </w:r>
    </w:p>
    <w:p>
      <w:pPr/>
      <w:r>
        <w:rPr>
          <w:lang w:val="pt_PT" w:bidi="pt_PT"/>
        </w:rPr>
      </w:r>
      <w:r>
        <w:rPr>
          <w:lang w:val="pt_PT" w:bidi="pt_PT"/>
        </w:rPr>
        <w:t>Quando o filho de Nabopolassar, Nabucodonosor II (605–562 a.C.), o sucedeu, seu império se estendeu por vastas porções do antigo Oriente Próximo. Nabucodonosor lançou uma série de campanhas contra o reino de Judá, atacando Jerusalém com sucesso em três ocasiões e levando muitos de seus habitantes à escravidão. O último desses ataques (586 a.C.) resultou na queda final do reino de Judá.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Exceto pelos anos finais do piedoso rei Josias (640–609 a.C.), a violência e a injustiça caracterizaram a sociedade judaica desde o reinado maligno de Manassés (697–642 a.C.) até a queda de Jerusalém (586 a.C.). De muitas maneiras, Manassés foi o oposto de seu piedoso pai, Ezequias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2Rs 21.1–9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2Cr 33.2–9</w:t>
        </w:r>
      </w:hyperlink>
      <w:r>
        <w:rPr>
          <w:lang w:val="pt_PT" w:bidi="pt_PT"/>
        </w:rPr>
        <w:t>). Manassés promoveu ativamente ritos pagãos que os colonos pré-israelitas de Canaã haviam praticado. Esta apostasia condenou Judá. O arrependimento posterior de Manassés e suas tentativas de desfazer seus males anteriores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2Cr 33.15–19</w:t>
        </w:r>
      </w:hyperlink>
      <w:r>
        <w:rPr>
          <w:lang w:val="pt_PT" w:bidi="pt_PT"/>
        </w:rPr>
        <w:t>) não resultaram em mudança duradoura, e seu filho Amom reintroduziu as práticas pagãs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2Rs 21.21–22</w:t>
        </w:r>
      </w:hyperlink>
      <w:r>
        <w:rPr>
          <w:lang w:val="pt_PT" w:bidi="pt_PT"/>
        </w:rPr>
        <w:t>). Os ministérios subsequentes de profetas como Sofonias, Jeremias e Ezequiel, e os esforços de reforma de Josias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2Cr 34.1–35.19</w:t>
        </w:r>
      </w:hyperlink>
      <w:r>
        <w:rPr>
          <w:lang w:val="pt_PT" w:bidi="pt_PT"/>
        </w:rPr>
        <w:t>) também não produziram mudança duradoura. Os reis posteriores de Judá foram todos condenados por sua maldade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2Rs 23.32</w:t>
        </w:r>
      </w:hyperlink>
      <w:r>
        <w:rPr>
          <w:lang w:val="pt_PT" w:bidi="pt_PT"/>
        </w:rPr>
        <w:t>,</w:t>
      </w:r>
      <w:hyperlink r:id="rId21">
        <w:r>
          <w:rPr>
            <w:lang w:val="pt_PT" w:bidi="pt_PT"/>
          </w:rPr>
          <w:rPr>
            <w:color w:val="0000EE"/>
            <w:u w:val="single"/>
          </w:rPr>
          <w:t>37</w:t>
        </w:r>
      </w:hyperlink>
      <w:r>
        <w:rPr>
          <w:lang w:val="pt_PT" w:bidi="pt_PT"/>
        </w:rPr>
        <w:t xml:space="preserve">;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24.19</w:t>
        </w:r>
      </w:hyperlink>
      <w:r>
        <w:rPr>
          <w:lang w:val="pt_PT" w:bidi="pt_PT"/>
        </w:rPr>
        <w:t xml:space="preserve">;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Jr 22</w:t>
        </w:r>
      </w:hyperlink>
      <w:r>
        <w:rPr>
          <w:lang w:val="pt_PT" w:bidi="pt_PT"/>
        </w:rPr>
        <w:t xml:space="preserve">;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27.1–22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36.30–31</w:t>
        </w:r>
      </w:hyperlink>
      <w:r>
        <w:rPr>
          <w:lang w:val="pt_PT" w:bidi="pt_PT"/>
        </w:rPr>
        <w:t>). Mesmo durante as reformas de Josias, o povo de Judá permaneceu arraigado em sua apostasia.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Tanto externamente quanto internamente, a nação de Judá estava em um estado precário. Foi durante este último e trágico período da história de Judá como um estado independente que Habacuque viveu e serviu como profeta (veja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Hc 1.2–4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Habacuque é um diálogo entre Deus e o profeta. Nos versículos iniciais, Habacuque observa a sociedade violenta em que Judá se transformou. Ele não consegue entender por que Deus parece ignorar o pecado de Judá. Habacuque sente que, apesar de seus repetidos clamores, Deus simplesmente não está ouvindo-o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1.2–4</w:t>
        </w:r>
      </w:hyperlink>
      <w:r>
        <w:rPr>
          <w:lang w:val="pt_PT" w:bidi="pt_PT"/>
        </w:rPr>
        <w:t>). A primeira resposta de Deus é que Ele está prestes a lidar com a violência de Judá, trazendo um povo ainda mais violento, os babilônios, para julgá-los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1.5–11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Esta resposta deixa Habacuque ainda mais perplexo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1.12–2.1</w:t>
        </w:r>
      </w:hyperlink>
      <w:r>
        <w:rPr>
          <w:lang w:val="pt_PT" w:bidi="pt_PT"/>
        </w:rPr>
        <w:t>). Judá era realmente perverso, mas por que Deus usaria pessoas ainda mais perversas para castigar seu próprio povo? A resposta de Deus a esta pergunta foca em sua justiça ao punir tanto Judá quanto os babilônios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2.2–5</w:t>
        </w:r>
      </w:hyperlink>
      <w:r>
        <w:rPr>
          <w:lang w:val="pt_PT" w:bidi="pt_PT"/>
        </w:rPr>
        <w:t>). Ambos falharam em manter os padrões de fé e moralidade de Deus, e ambos mereceram o julgamento de Deus. Em uma série de cinco canções de escárnio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2.6–20</w:t>
        </w:r>
      </w:hyperlink>
      <w:r>
        <w:rPr>
          <w:lang w:val="pt_PT" w:bidi="pt_PT"/>
        </w:rPr>
        <w:t>), Deus lista suas acusações contra todos os que são corruptos e praticam injustiça. Sem dúvida, isso incluía os babilônios; mesmo que Deus esteja usando pessoas para realizar seus propósitos, essas mesmas pessoas ainda são responsáveis por viver de acordo com os padrões éticos de Deus. Se não o fizerem, não poderão escapar do castigo.</w:t>
      </w:r>
    </w:p>
    <w:p>
      <w:pPr/>
      <w:r>
        <w:rPr>
          <w:lang w:val="pt_PT" w:bidi="pt_PT"/>
        </w:rPr>
      </w:r>
      <w:r>
        <w:rPr>
          <w:lang w:val="pt_PT" w:bidi="pt_PT"/>
        </w:rPr>
        <w:t>O capítulo final começa com a oração de Habacuque pela misericórdia de Deus sobre Judá, mesmo enquanto Ele os castiga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3.1–2</w:t>
        </w:r>
      </w:hyperlink>
      <w:r>
        <w:rPr>
          <w:lang w:val="pt_PT" w:bidi="pt_PT"/>
        </w:rPr>
        <w:t>). Habacuque então registra um salmo de louvor que reflete poeticamente sobre o relato da redenção de seu povo por Deus durante o Êxodo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3.3–15</w:t>
        </w:r>
      </w:hyperlink>
      <w:r>
        <w:rPr>
          <w:lang w:val="pt_PT" w:bidi="pt_PT"/>
        </w:rPr>
        <w:t>). Habacuque encerra com uma declaração de compromisso e uma nota de louvor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3.16–19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Nada se sabe sobre Habacuque, exceto que ele foi um profeta de Judá. Um manuscrito de </w:t>
      </w:r>
      <w:r>
        <w:rPr>
          <w:i/>
          <w:lang w:val="pt_PT" w:bidi="pt_PT"/>
        </w:rPr>
        <w:t>Bel e o Dragão</w:t>
      </w:r>
      <w:r>
        <w:rPr>
          <w:lang w:val="pt_PT" w:bidi="pt_PT"/>
        </w:rPr>
        <w:t>, uma história incluída no final do livro de Daniel na tradução grega do Antigo Testamento, identifica Habacuque como um Levita. Se for verdade, isso pode ajudar a explicar as notações musicais no terceiro capítulo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3.1</w:t>
        </w:r>
      </w:hyperlink>
      <w:r>
        <w:rPr>
          <w:lang w:val="pt_PT" w:bidi="pt_PT"/>
        </w:rPr>
        <w:t>,</w:t>
      </w:r>
      <w:hyperlink r:id="rId35">
        <w:r>
          <w:rPr>
            <w:lang w:val="pt_PT" w:bidi="pt_PT"/>
          </w:rPr>
          <w:rPr>
            <w:color w:val="0000EE"/>
            <w:u w:val="single"/>
          </w:rPr>
          <w:t>3</w:t>
        </w:r>
      </w:hyperlink>
      <w:r>
        <w:rPr>
          <w:lang w:val="pt_PT" w:bidi="pt_PT"/>
        </w:rPr>
        <w:t>,</w:t>
      </w:r>
      <w:hyperlink r:id="rId36">
        <w:r>
          <w:rPr>
            <w:lang w:val="pt_PT" w:bidi="pt_PT"/>
          </w:rPr>
          <w:rPr>
            <w:color w:val="0000EE"/>
            <w:u w:val="single"/>
          </w:rPr>
          <w:t>9</w:t>
        </w:r>
      </w:hyperlink>
      <w:r>
        <w:rPr>
          <w:lang w:val="pt_PT" w:bidi="pt_PT"/>
        </w:rPr>
        <w:t>,</w:t>
      </w:r>
      <w:hyperlink r:id="rId37">
        <w:r>
          <w:rPr>
            <w:lang w:val="pt_PT" w:bidi="pt_PT"/>
          </w:rPr>
          <w:rPr>
            <w:color w:val="0000EE"/>
            <w:u w:val="single"/>
          </w:rPr>
          <w:t>13</w:t>
        </w:r>
      </w:hyperlink>
      <w:r>
        <w:rPr>
          <w:lang w:val="pt_PT" w:bidi="pt_PT"/>
        </w:rPr>
        <w:t>,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19</w:t>
        </w:r>
      </w:hyperlink>
      <w:r>
        <w:rPr>
          <w:lang w:val="pt_PT" w:bidi="pt_PT"/>
        </w:rPr>
        <w:t xml:space="preserve">), já que os líderes de música do Templo eram levitas (veja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1Cr 6.31–47</w:t>
        </w:r>
      </w:hyperlink>
      <w:r>
        <w:rPr>
          <w:lang w:val="pt_PT" w:bidi="pt_PT"/>
        </w:rPr>
        <w:t xml:space="preserve">;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25.1–31</w:t>
        </w:r>
      </w:hyperlink>
      <w:r>
        <w:rPr>
          <w:lang w:val="pt_PT" w:bidi="pt_PT"/>
        </w:rPr>
        <w:t>). O rico uso de linguagem figurativa por Habacuque e sua cuidadosa estrutura composicional indicam sua alta sensibilidade literária. Seu ódio à imoralidade e ao colapso social que o pecado causa também demonstra sua profunda preocupação espiritual para que o povo de Deus viva de acordo com os padrões de Deus.</w:t>
      </w:r>
    </w:p>
    <w:p>
      <w:pPr>
        <w:pStyle w:val="Heading2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A data da profecia de Habacuque é incerta. As circunstâncias mencionadas no livro se encaixam melhor com um período tardio na história de Judá, mas antes do exílio de Judá para Babilônia; portanto, a profecia é mais provavelmente datada entre cerca de 645 a.C. (perto do final do reinado de Manassés) e 605 a.C. (primeira invasão de Judá pela Babilônia). A queixa de Habacuque sobre a injustiça social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Hc 1.2–4</w:t>
        </w:r>
      </w:hyperlink>
      <w:r>
        <w:rPr>
          <w:lang w:val="pt_PT" w:bidi="pt_PT"/>
        </w:rPr>
        <w:t>) e sua atenção ao Império Neo-Babilônico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1.5–11</w:t>
        </w:r>
      </w:hyperlink>
      <w:r>
        <w:rPr>
          <w:lang w:val="pt_PT" w:bidi="pt_PT"/>
        </w:rPr>
        <w:t xml:space="preserve">;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2.6–20</w:t>
        </w:r>
      </w:hyperlink>
      <w:r>
        <w:rPr>
          <w:lang w:val="pt_PT" w:bidi="pt_PT"/>
        </w:rPr>
        <w:t>) também favorecem uma data durante este período.</w:t>
      </w:r>
    </w:p>
    <w:p>
      <w:pPr/>
      <w:r>
        <w:rPr>
          <w:lang w:val="pt_PT" w:bidi="pt_PT"/>
        </w:rPr>
      </w:r>
      <w:r>
        <w:rPr>
          <w:lang w:val="pt_PT" w:bidi="pt_PT"/>
        </w:rPr>
        <w:t>Em relação a uma data mais específica, três posições gerais foram apresentadas. (1) Muitos datam o livro para a época do Rei Jeoaquim (609–598 a.C.), cuja disposição maligna e ações perversas (</w:t>
      </w:r>
      <w:hyperlink r:id="rId41">
        <w:r>
          <w:rPr>
            <w:lang w:val="pt_PT" w:bidi="pt_PT"/>
          </w:rPr>
          <w:rPr>
            <w:color w:val="0000EE"/>
            <w:u w:val="single"/>
          </w:rPr>
          <w:t>2Rs 24.1–3</w:t>
        </w:r>
      </w:hyperlink>
      <w:r>
        <w:rPr>
          <w:lang w:val="pt_PT" w:bidi="pt_PT"/>
        </w:rPr>
        <w:t>) trouxeram tanto profecias condenatórias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Jr 22.18–19</w:t>
        </w:r>
      </w:hyperlink>
      <w:r>
        <w:rPr>
          <w:lang w:val="pt_PT" w:bidi="pt_PT"/>
        </w:rPr>
        <w:t xml:space="preserve">;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26.3–6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36.27–32</w:t>
        </w:r>
      </w:hyperlink>
      <w:r>
        <w:rPr>
          <w:lang w:val="pt_PT" w:bidi="pt_PT"/>
        </w:rPr>
        <w:t>) quanto a ameaça de invasão babilônica (</w:t>
      </w:r>
      <w:hyperlink r:id="rId45">
        <w:r>
          <w:rPr>
            <w:lang w:val="pt_PT" w:bidi="pt_PT"/>
          </w:rPr>
          <w:rPr>
            <w:color w:val="0000EE"/>
            <w:u w:val="single"/>
          </w:rPr>
          <w:t>Jr 25</w:t>
        </w:r>
      </w:hyperlink>
      <w:r>
        <w:rPr>
          <w:lang w:val="pt_PT" w:bidi="pt_PT"/>
        </w:rPr>
        <w:t>). (2) Outros argumentam pelos primeiros dias de Josias (640–609 a.C.), que, antes de encontrar o Livro da Lei em 622 a.C., lidou com a apostasia desenfreada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2Cr 34.1–7</w:t>
        </w:r>
      </w:hyperlink>
      <w:r>
        <w:rPr>
          <w:lang w:val="pt_PT" w:bidi="pt_PT"/>
        </w:rPr>
        <w:t>). (3) Ainda outros defendem a visão judaica tradicional de que Habacuque viveu durante o tempo do reinado independente de Manassés (686–642 a.C.), cuja maldade (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2Rs 21.16–17</w:t>
        </w:r>
      </w:hyperlink>
      <w:r>
        <w:rPr>
          <w:lang w:val="pt_PT" w:bidi="pt_PT"/>
        </w:rPr>
        <w:t>) e reinstauração do culto cananeu e ritos pagãos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2Rs 21.1–11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2Cr 33.1–9</w:t>
        </w:r>
      </w:hyperlink>
      <w:r>
        <w:rPr>
          <w:lang w:val="pt_PT" w:bidi="pt_PT"/>
        </w:rPr>
        <w:t xml:space="preserve">,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19–20</w:t>
        </w:r>
      </w:hyperlink>
      <w:r>
        <w:rPr>
          <w:lang w:val="pt_PT" w:bidi="pt_PT"/>
        </w:rPr>
        <w:t>) causaram o pronunciamento de Deus sobre a destruição de Judá (</w:t>
      </w:r>
      <w:hyperlink r:id="rId51">
        <w:r>
          <w:rPr>
            <w:lang w:val="pt_PT" w:bidi="pt_PT"/>
          </w:rPr>
          <w:rPr>
            <w:color w:val="0000EE"/>
            <w:u w:val="single"/>
          </w:rPr>
          <w:t>2Rs 21.12–15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Quando a violência e a corrupção são abundantes e o mal parece reinar, os fiéis podem ser tentados a se perguntar se Deus realmente se importa ou está no controle. O diálogo de Habacuque nos ajuda a entender que Deus não despreza tais perguntas quando são levadas a Ele em oração com um coração honesto.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Habacuque reafirma que Deus está no controle da história e que seus atos são sempre justos e corretos. Os crentes devem estar dispostos a aceitar as respostas de Deus e se alegrar em sua vontade, mesmo que pareça completamente estranha ao seu próprio pensamento. Deus realmente vê e se importa profundamente com o que acontece na terra. Embora as pessoas possam não perceber, a mão soberana de Deus está em ação, e ele, em última análise, trará as questões a uma conclusão adequada e justa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Hc 2.2–3</w:t>
        </w:r>
      </w:hyperlink>
      <w:r>
        <w:rPr>
          <w:lang w:val="pt_PT" w:bidi="pt_PT"/>
        </w:rPr>
        <w:t>,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babilônios adoravam o poder bruto que lhes trouxe prosperidade. As acusações de Deus contra os babilônios lembram os leitores de adorar somente a Deus (cf.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1Jo 5.21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de Deus para Habacuque também enfatiza que a vida santa de fé e fidelidade do crente deve refletir os padrões éticos de Deus (</w:t>
      </w:r>
      <w:hyperlink r:id="rId55">
        <w:r>
          <w:rPr>
            <w:lang w:val="pt_PT" w:bidi="pt_PT"/>
          </w:rPr>
          <w:rPr>
            <w:color w:val="0000EE"/>
            <w:u w:val="single"/>
          </w:rPr>
          <w:t>Hc 1.12</w:t>
        </w:r>
      </w:hyperlink>
      <w:r>
        <w:rPr>
          <w:lang w:val="pt_PT" w:bidi="pt_PT"/>
        </w:rPr>
        <w:t xml:space="preserve">;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2.4</w:t>
        </w:r>
      </w:hyperlink>
      <w:r>
        <w:rPr>
          <w:lang w:val="pt_PT" w:bidi="pt_PT"/>
        </w:rPr>
        <w:t>). Aqueles que confiam e servem ativamente a Deus poderão se alegrar no Senhor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3.18</w:t>
        </w:r>
      </w:hyperlink>
      <w:r>
        <w:rPr>
          <w:lang w:val="pt_PT" w:bidi="pt_PT"/>
        </w:rPr>
        <w:t xml:space="preserve">;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Fp 4.4</w:t>
        </w:r>
      </w:hyperlink>
      <w:r>
        <w:rPr>
          <w:lang w:val="pt_PT" w:bidi="pt_PT"/>
        </w:rPr>
        <w:t>) e viver triunfantemente sob quaisquer circunstâncias (</w:t>
      </w:r>
      <w:hyperlink r:id="rId59">
        <w:r>
          <w:rPr>
            <w:lang w:val="pt_PT" w:bidi="pt_PT"/>
          </w:rPr>
          <w:rPr>
            <w:color w:val="0000EE"/>
            <w:u w:val="single"/>
          </w:rPr>
          <w:t>Hc 2.20</w:t>
        </w:r>
      </w:hyperlink>
      <w:r>
        <w:rPr>
          <w:lang w:val="pt_PT" w:bidi="pt_PT"/>
        </w:rPr>
        <w:t xml:space="preserve">;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3.16–19</w:t>
        </w:r>
      </w:hyperlink>
      <w:r>
        <w:rPr>
          <w:lang w:val="pt_PT" w:bidi="pt_PT"/>
        </w:rPr>
        <w:t xml:space="preserve">; veja também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Rm 1.16–17</w:t>
        </w:r>
      </w:hyperlink>
      <w:r>
        <w:rPr>
          <w:lang w:val="pt_PT" w:bidi="pt_PT"/>
        </w:rPr>
        <w:t xml:space="preserve">;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Gl 3.11</w:t>
        </w:r>
      </w:hyperlink>
      <w:r>
        <w:rPr>
          <w:lang w:val="pt_PT" w:bidi="pt_PT"/>
        </w:rPr>
        <w:t xml:space="preserve">;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Hb 10.35–39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1:1-2Kgs21:9" TargetMode="External"/><Relationship Id="rId16" Type="http://schemas.openxmlformats.org/officeDocument/2006/relationships/hyperlink" Target="https://ref.ly/2Chr33:2-2Chr33:9" TargetMode="External"/><Relationship Id="rId17" Type="http://schemas.openxmlformats.org/officeDocument/2006/relationships/hyperlink" Target="https://ref.ly/2Chr33:15-2Chr33:19" TargetMode="External"/><Relationship Id="rId18" Type="http://schemas.openxmlformats.org/officeDocument/2006/relationships/hyperlink" Target="https://ref.ly/2Kgs21:21-2Kgs21:22" TargetMode="External"/><Relationship Id="rId19" Type="http://schemas.openxmlformats.org/officeDocument/2006/relationships/hyperlink" Target="https://ref.ly/2Chr34:1-2Chr35:19" TargetMode="External"/><Relationship Id="rId20" Type="http://schemas.openxmlformats.org/officeDocument/2006/relationships/hyperlink" Target="https://ref.ly/2Kgs23:32" TargetMode="External"/><Relationship Id="rId21" Type="http://schemas.openxmlformats.org/officeDocument/2006/relationships/hyperlink" Target="https://ref.ly/2Kgs23:37" TargetMode="External"/><Relationship Id="rId22" Type="http://schemas.openxmlformats.org/officeDocument/2006/relationships/hyperlink" Target="https://ref.ly/2Kgs24:19" TargetMode="External"/><Relationship Id="rId23" Type="http://schemas.openxmlformats.org/officeDocument/2006/relationships/hyperlink" Target="https://ref.ly/Jer22:1-Jer22:30" TargetMode="External"/><Relationship Id="rId24" Type="http://schemas.openxmlformats.org/officeDocument/2006/relationships/hyperlink" Target="https://ref.ly/Jer27:1-Jer27:22" TargetMode="External"/><Relationship Id="rId25" Type="http://schemas.openxmlformats.org/officeDocument/2006/relationships/hyperlink" Target="https://ref.ly/Jer36:30-Jer36:31" TargetMode="External"/><Relationship Id="rId26" Type="http://schemas.openxmlformats.org/officeDocument/2006/relationships/hyperlink" Target="https://ref.ly/Hab1:2-Hab1:4" TargetMode="External"/><Relationship Id="rId27" Type="http://schemas.openxmlformats.org/officeDocument/2006/relationships/hyperlink" Target="https://ref.ly/Hab1:5-Hab1:11" TargetMode="External"/><Relationship Id="rId28" Type="http://schemas.openxmlformats.org/officeDocument/2006/relationships/hyperlink" Target="https://ref.ly/Hab1:12-Hab2:1" TargetMode="External"/><Relationship Id="rId29" Type="http://schemas.openxmlformats.org/officeDocument/2006/relationships/hyperlink" Target="https://ref.ly/Hab2:2-Hab2:5" TargetMode="External"/><Relationship Id="rId30" Type="http://schemas.openxmlformats.org/officeDocument/2006/relationships/hyperlink" Target="https://ref.ly/Hab2:6-Hab2:20" TargetMode="External"/><Relationship Id="rId31" Type="http://schemas.openxmlformats.org/officeDocument/2006/relationships/hyperlink" Target="https://ref.ly/Hab3:1-Hab3:2" TargetMode="External"/><Relationship Id="rId32" Type="http://schemas.openxmlformats.org/officeDocument/2006/relationships/hyperlink" Target="https://ref.ly/Hab3:3-Hab3:15" TargetMode="External"/><Relationship Id="rId33" Type="http://schemas.openxmlformats.org/officeDocument/2006/relationships/hyperlink" Target="https://ref.ly/Hab3:16-Hab3:19" TargetMode="External"/><Relationship Id="rId34" Type="http://schemas.openxmlformats.org/officeDocument/2006/relationships/hyperlink" Target="https://ref.ly/Hab3:1" TargetMode="External"/><Relationship Id="rId35" Type="http://schemas.openxmlformats.org/officeDocument/2006/relationships/hyperlink" Target="https://ref.ly/Hab3:3" TargetMode="External"/><Relationship Id="rId36" Type="http://schemas.openxmlformats.org/officeDocument/2006/relationships/hyperlink" Target="https://ref.ly/Hab3:9" TargetMode="External"/><Relationship Id="rId37" Type="http://schemas.openxmlformats.org/officeDocument/2006/relationships/hyperlink" Target="https://ref.ly/Hab3:13" TargetMode="External"/><Relationship Id="rId38" Type="http://schemas.openxmlformats.org/officeDocument/2006/relationships/hyperlink" Target="https://ref.ly/Hab3:19" TargetMode="External"/><Relationship Id="rId39" Type="http://schemas.openxmlformats.org/officeDocument/2006/relationships/hyperlink" Target="https://ref.ly/1Chr6:31-1Chr6:47" TargetMode="External"/><Relationship Id="rId40" Type="http://schemas.openxmlformats.org/officeDocument/2006/relationships/hyperlink" Target="https://ref.ly/1Chr25:1-1Chr25:31" TargetMode="External"/><Relationship Id="rId41" Type="http://schemas.openxmlformats.org/officeDocument/2006/relationships/hyperlink" Target="https://ref.ly/2Kgs24:1-2Kgs24:3" TargetMode="External"/><Relationship Id="rId42" Type="http://schemas.openxmlformats.org/officeDocument/2006/relationships/hyperlink" Target="https://ref.ly/Jer22:18-Jer22:19" TargetMode="External"/><Relationship Id="rId43" Type="http://schemas.openxmlformats.org/officeDocument/2006/relationships/hyperlink" Target="https://ref.ly/Jer26:3-Jer26:6" TargetMode="External"/><Relationship Id="rId44" Type="http://schemas.openxmlformats.org/officeDocument/2006/relationships/hyperlink" Target="https://ref.ly/Jer36:27-Jer36:32" TargetMode="External"/><Relationship Id="rId45" Type="http://schemas.openxmlformats.org/officeDocument/2006/relationships/hyperlink" Target="https://ref.ly/Jer25:1-Jer25:38" TargetMode="External"/><Relationship Id="rId46" Type="http://schemas.openxmlformats.org/officeDocument/2006/relationships/hyperlink" Target="https://ref.ly/2Chr34:1-2Chr34:7" TargetMode="External"/><Relationship Id="rId47" Type="http://schemas.openxmlformats.org/officeDocument/2006/relationships/hyperlink" Target="https://ref.ly/2Kgs21:16-2Kgs21:17" TargetMode="External"/><Relationship Id="rId48" Type="http://schemas.openxmlformats.org/officeDocument/2006/relationships/hyperlink" Target="https://ref.ly/2Kgs21:1-2Kgs21:11" TargetMode="External"/><Relationship Id="rId49" Type="http://schemas.openxmlformats.org/officeDocument/2006/relationships/hyperlink" Target="https://ref.ly/2Chr33:1-2Chr33:9" TargetMode="External"/><Relationship Id="rId50" Type="http://schemas.openxmlformats.org/officeDocument/2006/relationships/hyperlink" Target="https://ref.ly/2Chr33:19-2Chr33:20" TargetMode="External"/><Relationship Id="rId51" Type="http://schemas.openxmlformats.org/officeDocument/2006/relationships/hyperlink" Target="https://ref.ly/2Kgs21:12-2Kgs21:15" TargetMode="External"/><Relationship Id="rId52" Type="http://schemas.openxmlformats.org/officeDocument/2006/relationships/hyperlink" Target="https://ref.ly/Hab2:2-Hab2:3" TargetMode="External"/><Relationship Id="rId53" Type="http://schemas.openxmlformats.org/officeDocument/2006/relationships/hyperlink" Target="https://ref.ly/Hab2:14" TargetMode="External"/><Relationship Id="rId54" Type="http://schemas.openxmlformats.org/officeDocument/2006/relationships/hyperlink" Target="https://ref.ly/1John5:21" TargetMode="External"/><Relationship Id="rId55" Type="http://schemas.openxmlformats.org/officeDocument/2006/relationships/hyperlink" Target="https://ref.ly/Hab1:12" TargetMode="External"/><Relationship Id="rId56" Type="http://schemas.openxmlformats.org/officeDocument/2006/relationships/hyperlink" Target="https://ref.ly/Hab2:4" TargetMode="External"/><Relationship Id="rId57" Type="http://schemas.openxmlformats.org/officeDocument/2006/relationships/hyperlink" Target="https://ref.ly/Hab3:18" TargetMode="External"/><Relationship Id="rId58" Type="http://schemas.openxmlformats.org/officeDocument/2006/relationships/hyperlink" Target="https://ref.ly/Phil4:4" TargetMode="External"/><Relationship Id="rId59" Type="http://schemas.openxmlformats.org/officeDocument/2006/relationships/hyperlink" Target="https://ref.ly/Hab2:20" TargetMode="External"/><Relationship Id="rId60" Type="http://schemas.openxmlformats.org/officeDocument/2006/relationships/hyperlink" Target="https://ref.ly/Rom1:16-Rom1:17" TargetMode="External"/><Relationship Id="rId61" Type="http://schemas.openxmlformats.org/officeDocument/2006/relationships/hyperlink" Target="https://ref.ly/Gal3:11" TargetMode="External"/><Relationship Id="rId62" Type="http://schemas.openxmlformats.org/officeDocument/2006/relationships/hyperlink" Target="https://ref.ly/Heb10:35-Heb10: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