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Acts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hyperlink r:id="rId15">
        <w:r>
          <w:rPr>
            <w:lang w:val="pt_PT" w:bidi="pt_PT"/>
          </w:rPr>
          <w:rPr>
            <w:color w:val="0000EE"/>
            <w:u w:val="single"/>
          </w:rPr>
          <w:t>10.34</w:t>
        </w:r>
      </w:hyperlink>
      <w:r>
        <w:rPr>
          <w:lang w:val="pt_PT" w:bidi="pt_PT"/>
        </w:rPr>
        <w:t>). Cristo é o único Salvador (</w:t>
      </w:r>
      <w:hyperlink r:id="rId16">
        <w:r>
          <w:rPr>
            <w:lang w:val="pt_PT" w:bidi="pt_PT"/>
          </w:rPr>
          <w:rPr>
            <w:color w:val="0000EE"/>
            <w:u w:val="single"/>
          </w:rPr>
          <w:t>4.12</w:t>
        </w:r>
      </w:hyperlink>
      <w:r>
        <w:rPr>
          <w:lang w:val="pt_PT" w:bidi="pt_PT"/>
        </w:rPr>
        <w:t xml:space="preserve">), e todos podem crer nele para salvação e nova vida (veja </w:t>
      </w:r>
      <w:hyperlink r:id="rId17">
        <w:r>
          <w:rPr>
            <w:lang w:val="pt_PT" w:bidi="pt_PT"/>
          </w:rPr>
          <w:rPr>
            <w:color w:val="0000EE"/>
            <w:u w:val="single"/>
          </w:rPr>
          <w:t>16.30–31</w:t>
        </w:r>
      </w:hyperlink>
      <w:r>
        <w:rPr>
          <w:lang w:val="pt_PT" w:bidi="pt_PT"/>
        </w:rPr>
        <w:t xml:space="preserve">). Apesar da tendência dos cristãos judeus de manter a graça de Deus para si mesmos, a igreja chegou à conclusão unida de que os gentios estão totalmente incluídos nas promessas de Deus (veja </w:t>
      </w:r>
      <w:hyperlink r:id="rId18">
        <w:r>
          <w:rPr>
            <w:lang w:val="pt_PT" w:bidi="pt_PT"/>
          </w:rPr>
          <w:rPr>
            <w:color w:val="0000EE"/>
            <w:u w:val="single"/>
          </w:rPr>
          <w:t>15.1–31</w:t>
        </w:r>
      </w:hyperlink>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hyperlink r:id="rId19">
        <w:r>
          <w:rPr>
            <w:lang w:val="pt_PT" w:bidi="pt_PT"/>
          </w:rPr>
          <w:rPr>
            <w:color w:val="0000EE"/>
            <w:u w:val="single"/>
          </w:rPr>
          <w:t>Mt 28.18–20</w:t>
        </w:r>
      </w:hyperlink>
      <w:r>
        <w:rPr>
          <w:lang w:val="pt_PT" w:bidi="pt_PT"/>
        </w:rPr>
        <w:t>). Atos destaca especificamente os ministérios de Pedro (</w:t>
      </w:r>
      <w:hyperlink r:id="rId20">
        <w:r>
          <w:rPr>
            <w:lang w:val="pt_PT" w:bidi="pt_PT"/>
          </w:rPr>
          <w:rPr>
            <w:color w:val="0000EE"/>
            <w:u w:val="single"/>
          </w:rPr>
          <w:t>Atos 1.1–12.25</w:t>
        </w:r>
      </w:hyperlink>
      <w:r>
        <w:rPr>
          <w:lang w:val="pt_PT" w:bidi="pt_PT"/>
        </w:rPr>
        <w:t>) e Paulo (</w:t>
      </w:r>
      <w:hyperlink r:id="rId21">
        <w:r>
          <w:rPr>
            <w:lang w:val="pt_PT" w:bidi="pt_PT"/>
          </w:rPr>
          <w:rPr>
            <w:color w:val="0000EE"/>
            <w:u w:val="single"/>
          </w:rPr>
          <w:t>13.1–28.31</w:t>
        </w:r>
      </w:hyperlink>
      <w:r>
        <w:rPr>
          <w:lang w:val="pt_PT" w:bidi="pt_PT"/>
        </w:rPr>
        <w:t>).</w:t>
      </w:r>
    </w:p>
    <w:p>
      <w:pPr/>
      <w:r>
        <w:rPr>
          <w:lang w:val="pt_PT" w:bidi="pt_PT"/>
        </w:rPr>
      </w:r>
      <w:r>
        <w:rPr>
          <w:lang w:val="pt_PT" w:bidi="pt_PT"/>
        </w:rPr>
        <w:t xml:space="preserve">Atos segue um perfil geográfico baseado em </w:t>
      </w:r>
      <w:hyperlink r:id="rId22">
        <w:r>
          <w:rPr>
            <w:lang w:val="pt_PT" w:bidi="pt_PT"/>
          </w:rPr>
          <w:rPr>
            <w:color w:val="0000EE"/>
            <w:u w:val="single"/>
          </w:rPr>
          <w:t>1.8</w:t>
        </w:r>
      </w:hyperlink>
      <w:r>
        <w:rPr>
          <w:lang w:val="pt_PT" w:bidi="pt_PT"/>
        </w:rPr>
        <w:t>. A mensagem cristã e a comunidade dos crentes se espalharam em Jerusalém (</w:t>
      </w:r>
      <w:hyperlink r:id="rId23">
        <w:r>
          <w:rPr>
            <w:lang w:val="pt_PT" w:bidi="pt_PT"/>
          </w:rPr>
          <w:rPr>
            <w:color w:val="0000EE"/>
            <w:u w:val="single"/>
          </w:rPr>
          <w:t>1.1–8.3</w:t>
        </w:r>
      </w:hyperlink>
      <w:r>
        <w:rPr>
          <w:lang w:val="pt_PT" w:bidi="pt_PT"/>
        </w:rPr>
        <w:t>), na Palestina e na Síria (</w:t>
      </w:r>
      <w:hyperlink r:id="rId24">
        <w:r>
          <w:rPr>
            <w:lang w:val="pt_PT" w:bidi="pt_PT"/>
          </w:rPr>
          <w:rPr>
            <w:color w:val="0000EE"/>
            <w:u w:val="single"/>
          </w:rPr>
          <w:t>8.4–12.25</w:t>
        </w:r>
      </w:hyperlink>
      <w:r>
        <w:rPr>
          <w:lang w:val="pt_PT" w:bidi="pt_PT"/>
        </w:rPr>
        <w:t>) e no mundo gentio por todo o império romano (</w:t>
      </w:r>
      <w:hyperlink r:id="rId21">
        <w:r>
          <w:rPr>
            <w:lang w:val="pt_PT" w:bidi="pt_PT"/>
          </w:rPr>
          <w:rPr>
            <w:color w:val="0000EE"/>
            <w:u w:val="single"/>
          </w:rPr>
          <w:t>13.1–28.31</w:t>
        </w:r>
      </w:hyperlink>
      <w:r>
        <w:rPr>
          <w:lang w:val="pt_PT" w:bidi="pt_PT"/>
        </w:rPr>
        <w:t xml:space="preserve">). A palavra final no texto grego de Atos (akōlutōs, “desimpedido" </w:t>
      </w:r>
      <w:hyperlink r:id="rId25">
        <w:r>
          <w:rPr>
            <w:lang w:val="pt_PT" w:bidi="pt_PT"/>
          </w:rPr>
          <w:rPr>
            <w:color w:val="0000EE"/>
            <w:u w:val="single"/>
          </w:rPr>
          <w:t>28.31</w:t>
        </w:r>
      </w:hyperlink>
      <w:r>
        <w:rPr>
          <w:lang w:val="pt_PT" w:bidi="pt_PT"/>
        </w:rPr>
        <w:t>) lembra a disseminação livre do evangelho aos judeus (</w:t>
      </w:r>
      <w:hyperlink r:id="rId26">
        <w:r>
          <w:rPr>
            <w:lang w:val="pt_PT" w:bidi="pt_PT"/>
          </w:rPr>
          <w:rPr>
            <w:color w:val="0000EE"/>
            <w:u w:val="single"/>
          </w:rPr>
          <w:t>3.1–5.42</w:t>
        </w:r>
      </w:hyperlink>
      <w:r>
        <w:rPr>
          <w:lang w:val="pt_PT" w:bidi="pt_PT"/>
        </w:rPr>
        <w:t>), aos samaritanos (</w:t>
      </w:r>
      <w:hyperlink r:id="rId27">
        <w:r>
          <w:rPr>
            <w:lang w:val="pt_PT" w:bidi="pt_PT"/>
          </w:rPr>
          <w:rPr>
            <w:color w:val="0000EE"/>
            <w:u w:val="single"/>
          </w:rPr>
          <w:t>6.1–8.40</w:t>
        </w:r>
      </w:hyperlink>
      <w:r>
        <w:rPr>
          <w:lang w:val="pt_PT" w:bidi="pt_PT"/>
        </w:rPr>
        <w:t>), “tementes a Deus” (</w:t>
      </w:r>
      <w:hyperlink r:id="rId28">
        <w:r>
          <w:rPr>
            <w:lang w:val="pt_PT" w:bidi="pt_PT"/>
          </w:rPr>
          <w:rPr>
            <w:color w:val="0000EE"/>
            <w:u w:val="single"/>
          </w:rPr>
          <w:t>8.26–40</w:t>
        </w:r>
      </w:hyperlink>
      <w:r>
        <w:rPr>
          <w:lang w:val="pt_PT" w:bidi="pt_PT"/>
        </w:rPr>
        <w:t xml:space="preserve">; </w:t>
      </w:r>
      <w:hyperlink r:id="rId29">
        <w:r>
          <w:rPr>
            <w:lang w:val="pt_PT" w:bidi="pt_PT"/>
          </w:rPr>
          <w:rPr>
            <w:color w:val="0000EE"/>
            <w:u w:val="single"/>
          </w:rPr>
          <w:t>9.32–11.18</w:t>
        </w:r>
      </w:hyperlink>
      <w:r>
        <w:rPr>
          <w:lang w:val="pt_PT" w:bidi="pt_PT"/>
        </w:rPr>
        <w:t>) e aos gentios (</w:t>
      </w:r>
      <w:hyperlink r:id="rId30">
        <w:r>
          <w:rPr>
            <w:lang w:val="pt_PT" w:bidi="pt_PT"/>
          </w:rPr>
          <w:rPr>
            <w:color w:val="0000EE"/>
            <w:u w:val="single"/>
          </w:rPr>
          <w:t>11.19–30</w:t>
        </w:r>
      </w:hyperlink>
      <w:r>
        <w:rPr>
          <w:lang w:val="pt_PT" w:bidi="pt_PT"/>
        </w:rPr>
        <w:t xml:space="preserve">; </w:t>
      </w:r>
      <w:hyperlink r:id="rId21">
        <w:r>
          <w:rPr>
            <w:lang w:val="pt_PT" w:bidi="pt_PT"/>
          </w:rPr>
          <w:rPr>
            <w:color w:val="0000EE"/>
            <w:u w:val="single"/>
          </w:rPr>
          <w:t>13.1–28.31</w:t>
        </w:r>
      </w:hyperlink>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hyperlink r:id="rId22">
        <w:r>
          <w:rPr>
            <w:lang w:val="pt_PT" w:bidi="pt_PT"/>
          </w:rPr>
          <w:rPr>
            <w:color w:val="0000EE"/>
            <w:u w:val="single"/>
          </w:rPr>
          <w:t>1.8</w:t>
        </w:r>
      </w:hyperlink>
      <w:r>
        <w:rPr>
          <w:lang w:val="pt_PT" w:bidi="pt_PT"/>
        </w:rPr>
        <w:t xml:space="preserve">; </w:t>
      </w:r>
      <w:hyperlink r:id="rId31">
        <w:r>
          <w:rPr>
            <w:lang w:val="pt_PT" w:bidi="pt_PT"/>
          </w:rPr>
          <w:rPr>
            <w:color w:val="0000EE"/>
            <w:u w:val="single"/>
          </w:rPr>
          <w:t>9.15</w:t>
        </w:r>
      </w:hyperlink>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hyperlink r:id="rId32">
        <w:r>
          <w:rPr>
            <w:lang w:val="pt_PT" w:bidi="pt_PT"/>
          </w:rPr>
          <w:rPr>
            <w:color w:val="0000EE"/>
            <w:u w:val="single"/>
          </w:rPr>
          <w:t>2–5</w:t>
        </w:r>
      </w:hyperlink>
      <w:r>
        <w:rPr>
          <w:lang w:val="pt_PT" w:bidi="pt_PT"/>
        </w:rPr>
        <w:t xml:space="preserve">, </w:t>
      </w:r>
      <w:hyperlink r:id="rId33">
        <w:r>
          <w:rPr>
            <w:lang w:val="pt_PT" w:bidi="pt_PT"/>
          </w:rPr>
          <w:rPr>
            <w:color w:val="0000EE"/>
            <w:u w:val="single"/>
          </w:rPr>
          <w:t>7</w:t>
        </w:r>
      </w:hyperlink>
      <w:r>
        <w:rPr>
          <w:lang w:val="pt_PT" w:bidi="pt_PT"/>
        </w:rPr>
        <w:t xml:space="preserve">, </w:t>
      </w:r>
      <w:hyperlink r:id="rId34">
        <w:r>
          <w:rPr>
            <w:lang w:val="pt_PT" w:bidi="pt_PT"/>
          </w:rPr>
          <w:rPr>
            <w:color w:val="0000EE"/>
            <w:u w:val="single"/>
          </w:rPr>
          <w:t>10</w:t>
        </w:r>
      </w:hyperlink>
      <w:r>
        <w:rPr>
          <w:lang w:val="pt_PT" w:bidi="pt_PT"/>
        </w:rPr>
        <w:t xml:space="preserve">, </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22</w:t>
        </w:r>
      </w:hyperlink>
      <w:r>
        <w:rPr>
          <w:lang w:val="pt_PT" w:bidi="pt_PT"/>
        </w:rPr>
        <w:t xml:space="preserve">, </w:t>
      </w:r>
      <w:hyperlink r:id="rId37">
        <w:r>
          <w:rPr>
            <w:lang w:val="pt_PT" w:bidi="pt_PT"/>
          </w:rPr>
          <w:rPr>
            <w:color w:val="0000EE"/>
            <w:u w:val="single"/>
          </w:rPr>
          <w:t>26</w:t>
        </w:r>
      </w:hyperlink>
      <w:r>
        <w:rPr>
          <w:lang w:val="pt_PT" w:bidi="pt_PT"/>
        </w:rPr>
        <w:t>). Atos mostra que o evangelho está aberto a todos — não apenas aos judeus, mas também aos gentios (</w:t>
      </w:r>
      <w:hyperlink r:id="rId38">
        <w:r>
          <w:rPr>
            <w:lang w:val="pt_PT" w:bidi="pt_PT"/>
          </w:rPr>
          <w:rPr>
            <w:color w:val="0000EE"/>
            <w:u w:val="single"/>
          </w:rPr>
          <w:t>2.8–11</w:t>
        </w:r>
      </w:hyperlink>
      <w:r>
        <w:rPr>
          <w:lang w:val="pt_PT" w:bidi="pt_PT"/>
        </w:rPr>
        <w:t xml:space="preserve">; </w:t>
      </w:r>
      <w:hyperlink r:id="rId28">
        <w:r>
          <w:rPr>
            <w:lang w:val="pt_PT" w:bidi="pt_PT"/>
          </w:rPr>
          <w:rPr>
            <w:color w:val="0000EE"/>
            <w:u w:val="single"/>
          </w:rPr>
          <w:t>8.26–40</w:t>
        </w:r>
      </w:hyperlink>
      <w:r>
        <w:rPr>
          <w:lang w:val="pt_PT" w:bidi="pt_PT"/>
        </w:rPr>
        <w:t xml:space="preserve">; </w:t>
      </w:r>
      <w:hyperlink r:id="rId39">
        <w:r>
          <w:rPr>
            <w:lang w:val="pt_PT" w:bidi="pt_PT"/>
          </w:rPr>
          <w:rPr>
            <w:color w:val="0000EE"/>
            <w:u w:val="single"/>
          </w:rPr>
          <w:t>10.1–11.18</w:t>
        </w:r>
      </w:hyperlink>
      <w:r>
        <w:rPr>
          <w:lang w:val="pt_PT" w:bidi="pt_PT"/>
        </w:rPr>
        <w:t>), e não apenas aos homens, mas também às mulheres (</w:t>
      </w:r>
      <w:hyperlink r:id="rId40">
        <w:r>
          <w:rPr>
            <w:lang w:val="pt_PT" w:bidi="pt_PT"/>
          </w:rPr>
          <w:rPr>
            <w:color w:val="0000EE"/>
            <w:u w:val="single"/>
          </w:rPr>
          <w:t>5.14</w:t>
        </w:r>
      </w:hyperlink>
      <w:r>
        <w:rPr>
          <w:lang w:val="pt_PT" w:bidi="pt_PT"/>
        </w:rPr>
        <w:t xml:space="preserve">; </w:t>
      </w:r>
      <w:hyperlink r:id="rId41">
        <w:r>
          <w:rPr>
            <w:lang w:val="pt_PT" w:bidi="pt_PT"/>
          </w:rPr>
          <w:rPr>
            <w:color w:val="0000EE"/>
            <w:u w:val="single"/>
          </w:rPr>
          <w:t>8.12</w:t>
        </w:r>
      </w:hyperlink>
      <w:r>
        <w:rPr>
          <w:lang w:val="pt_PT" w:bidi="pt_PT"/>
        </w:rPr>
        <w:t xml:space="preserve">; </w:t>
      </w:r>
      <w:hyperlink r:id="rId42">
        <w:r>
          <w:rPr>
            <w:lang w:val="pt_PT" w:bidi="pt_PT"/>
          </w:rPr>
          <w:rPr>
            <w:color w:val="0000EE"/>
            <w:u w:val="single"/>
          </w:rPr>
          <w:t>16.13–15</w:t>
        </w:r>
      </w:hyperlink>
      <w:r>
        <w:rPr>
          <w:lang w:val="pt_PT" w:bidi="pt_PT"/>
        </w:rPr>
        <w:t xml:space="preserve">; </w:t>
      </w:r>
      <w:hyperlink r:id="rId43">
        <w:r>
          <w:rPr>
            <w:lang w:val="pt_PT" w:bidi="pt_PT"/>
          </w:rPr>
          <w:rPr>
            <w:color w:val="0000EE"/>
            <w:u w:val="single"/>
          </w:rPr>
          <w:t>17.4</w:t>
        </w:r>
      </w:hyperlink>
      <w:r>
        <w:rPr>
          <w:lang w:val="pt_PT" w:bidi="pt_PT"/>
        </w:rPr>
        <w:t xml:space="preserve">, </w:t>
      </w:r>
      <w:hyperlink r:id="rId44">
        <w:r>
          <w:rPr>
            <w:lang w:val="pt_PT" w:bidi="pt_PT"/>
          </w:rPr>
          <w:rPr>
            <w:color w:val="0000EE"/>
            <w:u w:val="single"/>
          </w:rPr>
          <w:t>12</w:t>
        </w:r>
      </w:hyperlink>
      <w:r>
        <w:rPr>
          <w:lang w:val="pt_PT" w:bidi="pt_PT"/>
        </w:rPr>
        <w:t xml:space="preserve">, </w:t>
      </w:r>
      <w:hyperlink r:id="rId45">
        <w:r>
          <w:rPr>
            <w:lang w:val="pt_PT" w:bidi="pt_PT"/>
          </w:rPr>
          <w:rPr>
            <w:color w:val="0000EE"/>
            <w:u w:val="single"/>
          </w:rPr>
          <w:t>34</w:t>
        </w:r>
      </w:hyperlink>
      <w:r>
        <w:rPr>
          <w:lang w:val="pt_PT" w:bidi="pt_PT"/>
        </w:rPr>
        <w:t xml:space="preserve">; </w:t>
      </w:r>
      <w:hyperlink r:id="rId46">
        <w:r>
          <w:rPr>
            <w:lang w:val="pt_PT" w:bidi="pt_PT"/>
          </w:rPr>
          <w:rPr>
            <w:color w:val="0000EE"/>
            <w:u w:val="single"/>
          </w:rPr>
          <w:t>18.26</w:t>
        </w:r>
      </w:hyperlink>
      <w:r>
        <w:rPr>
          <w:lang w:val="pt_PT" w:bidi="pt_PT"/>
        </w:rPr>
        <w:t xml:space="preserve">; </w:t>
      </w:r>
      <w:hyperlink r:id="rId47">
        <w:r>
          <w:rPr>
            <w:lang w:val="pt_PT" w:bidi="pt_PT"/>
          </w:rPr>
          <w:rPr>
            <w:color w:val="0000EE"/>
            <w:u w:val="single"/>
          </w:rPr>
          <w:t>21.9</w:t>
        </w:r>
      </w:hyperlink>
      <w:r>
        <w:rPr>
          <w:lang w:val="pt_PT" w:bidi="pt_PT"/>
        </w:rPr>
        <w:t>).</w:t>
      </w:r>
    </w:p>
    <w:p>
      <w:pPr/>
      <w:r>
        <w:rPr>
          <w:lang w:val="pt_PT" w:bidi="pt_PT"/>
        </w:rPr>
      </w:r>
      <w:r>
        <w:rPr>
          <w:lang w:val="pt_PT" w:bidi="pt_PT"/>
        </w:rPr>
        <w:t>Política. Atos apresenta uma forte defesa da fé cristã aos judeus (</w:t>
      </w:r>
      <w:hyperlink r:id="rId48">
        <w:r>
          <w:rPr>
            <w:lang w:val="pt_PT" w:bidi="pt_PT"/>
          </w:rPr>
          <w:rPr>
            <w:color w:val="0000EE"/>
            <w:u w:val="single"/>
          </w:rPr>
          <w:t>4.8–12</w:t>
        </w:r>
      </w:hyperlink>
      <w:r>
        <w:rPr>
          <w:lang w:val="pt_PT" w:bidi="pt_PT"/>
        </w:rPr>
        <w:t xml:space="preserve">; </w:t>
      </w:r>
      <w:hyperlink r:id="rId49">
        <w:r>
          <w:rPr>
            <w:lang w:val="pt_PT" w:bidi="pt_PT"/>
          </w:rPr>
          <w:rPr>
            <w:color w:val="0000EE"/>
            <w:u w:val="single"/>
          </w:rPr>
          <w:t>7.2–53</w:t>
        </w:r>
      </w:hyperlink>
      <w:r>
        <w:rPr>
          <w:lang w:val="pt_PT" w:bidi="pt_PT"/>
        </w:rPr>
        <w:t>) e aos gentios (</w:t>
      </w:r>
      <w:hyperlink r:id="rId50">
        <w:r>
          <w:rPr>
            <w:lang w:val="pt_PT" w:bidi="pt_PT"/>
          </w:rPr>
          <w:rPr>
            <w:color w:val="0000EE"/>
            <w:u w:val="single"/>
          </w:rPr>
          <w:t>24.10–21</w:t>
        </w:r>
      </w:hyperlink>
      <w:r>
        <w:rPr>
          <w:lang w:val="pt_PT" w:bidi="pt_PT"/>
        </w:rPr>
        <w:t xml:space="preserve">; </w:t>
      </w:r>
      <w:hyperlink r:id="rId51">
        <w:r>
          <w:rPr>
            <w:lang w:val="pt_PT" w:bidi="pt_PT"/>
          </w:rPr>
          <w:rPr>
            <w:color w:val="0000EE"/>
            <w:u w:val="single"/>
          </w:rPr>
          <w:t>26.1–23</w:t>
        </w:r>
      </w:hyperlink>
      <w:r>
        <w:rPr>
          <w:lang w:val="pt_PT" w:bidi="pt_PT"/>
        </w:rPr>
        <w:t>). Lucas argumentou que o cristianismo tinha direito à mesma proteção que o judaísmo desfrutava como uma religio licita (“religião permitida”) e que não apresentava perigo para o estado romano (</w:t>
      </w:r>
      <w:hyperlink r:id="rId52">
        <w:r>
          <w:rPr>
            <w:lang w:val="pt_PT" w:bidi="pt_PT"/>
          </w:rPr>
          <w:rPr>
            <w:color w:val="0000EE"/>
            <w:u w:val="single"/>
          </w:rPr>
          <w:t>18.14–16</w:t>
        </w:r>
      </w:hyperlink>
      <w:r>
        <w:rPr>
          <w:lang w:val="pt_PT" w:bidi="pt_PT"/>
        </w:rPr>
        <w:t xml:space="preserve">; </w:t>
      </w:r>
      <w:hyperlink r:id="rId53">
        <w:r>
          <w:rPr>
            <w:lang w:val="pt_PT" w:bidi="pt_PT"/>
          </w:rPr>
          <w:rPr>
            <w:color w:val="0000EE"/>
            <w:u w:val="single"/>
          </w:rPr>
          <w:t>19.37</w:t>
        </w:r>
      </w:hyperlink>
      <w:r>
        <w:rPr>
          <w:lang w:val="pt_PT" w:bidi="pt_PT"/>
        </w:rPr>
        <w:t xml:space="preserve">; </w:t>
      </w:r>
      <w:hyperlink r:id="rId54">
        <w:r>
          <w:rPr>
            <w:lang w:val="pt_PT" w:bidi="pt_PT"/>
          </w:rPr>
          <w:rPr>
            <w:color w:val="0000EE"/>
            <w:u w:val="single"/>
          </w:rPr>
          <w:t>23.29</w:t>
        </w:r>
      </w:hyperlink>
      <w:r>
        <w:rPr>
          <w:lang w:val="pt_PT" w:bidi="pt_PT"/>
        </w:rPr>
        <w:t xml:space="preserve">; </w:t>
      </w:r>
      <w:hyperlink r:id="rId55">
        <w:r>
          <w:rPr>
            <w:lang w:val="pt_PT" w:bidi="pt_PT"/>
          </w:rPr>
          <w:rPr>
            <w:color w:val="0000EE"/>
            <w:u w:val="single"/>
          </w:rPr>
          <w:t>25.25</w:t>
        </w:r>
      </w:hyperlink>
      <w:r>
        <w:rPr>
          <w:lang w:val="pt_PT" w:bidi="pt_PT"/>
        </w:rPr>
        <w:t xml:space="preserve">; </w:t>
      </w:r>
      <w:hyperlink r:id="rId56">
        <w:r>
          <w:rPr>
            <w:lang w:val="pt_PT" w:bidi="pt_PT"/>
          </w:rPr>
          <w:rPr>
            <w:color w:val="0000EE"/>
            <w:u w:val="single"/>
          </w:rPr>
          <w:t>26.32</w:t>
        </w:r>
      </w:hyperlink>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hyperlink r:id="rId57">
        <w:r>
          <w:rPr>
            <w:lang w:val="pt_PT" w:bidi="pt_PT"/>
          </w:rPr>
          <w:rPr>
            <w:color w:val="0000EE"/>
            <w:u w:val="single"/>
          </w:rPr>
          <w:t>16.10</w:t>
        </w:r>
      </w:hyperlink>
      <w:r>
        <w:rPr>
          <w:lang w:val="pt_PT" w:bidi="pt_PT"/>
        </w:rPr>
        <w:t xml:space="preserve"> e nota de rodapé lá) e estava com Paulo durante seus últimos anos (</w:t>
      </w:r>
      <w:hyperlink r:id="rId58">
        <w:r>
          <w:rPr>
            <w:lang w:val="pt_PT" w:bidi="pt_PT"/>
          </w:rPr>
          <w:rPr>
            <w:color w:val="0000EE"/>
            <w:u w:val="single"/>
          </w:rPr>
          <w:t>2Tm 4.11</w:t>
        </w:r>
      </w:hyperlink>
      <w:r>
        <w:rPr>
          <w:lang w:val="pt_PT" w:bidi="pt_PT"/>
        </w:rPr>
        <w:t xml:space="preserve">). Várias passagens em Atos aparecem na primeira pessoa (“nós”; </w:t>
      </w:r>
      <w:hyperlink r:id="rId59">
        <w:r>
          <w:rPr>
            <w:lang w:val="pt_PT" w:bidi="pt_PT"/>
          </w:rPr>
          <w:rPr>
            <w:color w:val="0000EE"/>
            <w:u w:val="single"/>
          </w:rPr>
          <w:t>16.10–18</w:t>
        </w:r>
      </w:hyperlink>
      <w:r>
        <w:rPr>
          <w:lang w:val="pt_PT" w:bidi="pt_PT"/>
        </w:rPr>
        <w:t xml:space="preserve">; </w:t>
      </w:r>
      <w:hyperlink r:id="rId60">
        <w:r>
          <w:rPr>
            <w:lang w:val="pt_PT" w:bidi="pt_PT"/>
          </w:rPr>
          <w:rPr>
            <w:color w:val="0000EE"/>
            <w:u w:val="single"/>
          </w:rPr>
          <w:t>20.5–15</w:t>
        </w:r>
      </w:hyperlink>
      <w:r>
        <w:rPr>
          <w:lang w:val="pt_PT" w:bidi="pt_PT"/>
        </w:rPr>
        <w:t xml:space="preserve">; </w:t>
      </w:r>
      <w:hyperlink r:id="rId61">
        <w:r>
          <w:rPr>
            <w:lang w:val="pt_PT" w:bidi="pt_PT"/>
          </w:rPr>
          <w:rPr>
            <w:color w:val="0000EE"/>
            <w:u w:val="single"/>
          </w:rPr>
          <w:t>21.1–18</w:t>
        </w:r>
      </w:hyperlink>
      <w:r>
        <w:rPr>
          <w:lang w:val="pt_PT" w:bidi="pt_PT"/>
        </w:rPr>
        <w:t xml:space="preserve">; </w:t>
      </w:r>
      <w:hyperlink r:id="rId62">
        <w:r>
          <w:rPr>
            <w:lang w:val="pt_PT" w:bidi="pt_PT"/>
          </w:rPr>
          <w:rPr>
            <w:color w:val="0000EE"/>
            <w:u w:val="single"/>
          </w:rPr>
          <w:t>27.1–28.16</w:t>
        </w:r>
      </w:hyperlink>
      <w:r>
        <w:rPr>
          <w:lang w:val="pt_PT" w:bidi="pt_PT"/>
        </w:rPr>
        <w:t>), o que sugere que Lucas estava com Paulo nessas partes de suas viagens. Em Colossenses, Lucas é referido como o “médico amado”, listado como um dos vários não-judeus que estavam trabalhando com Paulo (</w:t>
      </w:r>
      <w:hyperlink r:id="rId63">
        <w:r>
          <w:rPr>
            <w:lang w:val="pt_PT" w:bidi="pt_PT"/>
          </w:rPr>
          <w:rPr>
            <w:color w:val="0000EE"/>
            <w:u w:val="single"/>
          </w:rPr>
          <w:t>Cl 4.11–14</w:t>
        </w:r>
      </w:hyperlink>
      <w:r>
        <w:rPr>
          <w:lang w:val="pt_PT" w:bidi="pt_PT"/>
        </w:rPr>
        <w:t xml:space="preserve">; veja também </w:t>
      </w:r>
      <w:hyperlink r:id="rId64">
        <w:r>
          <w:rPr>
            <w:lang w:val="pt_PT" w:bidi="pt_PT"/>
          </w:rPr>
          <w:rPr>
            <w:color w:val="0000EE"/>
            <w:u w:val="single"/>
          </w:rPr>
          <w:t>Fm 1.24</w:t>
        </w:r>
      </w:hyperlink>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hyperlink r:id="rId65">
        <w:r>
          <w:rPr>
            <w:lang w:val="pt_PT" w:bidi="pt_PT"/>
          </w:rPr>
          <w:rPr>
            <w:color w:val="0000EE"/>
            <w:u w:val="single"/>
          </w:rPr>
          <w:t>Lucas 1.1–4</w:t>
        </w:r>
      </w:hyperlink>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2">
        <w:r>
          <w:rPr>
            <w:lang w:val="pt_PT" w:bidi="pt_PT"/>
          </w:rPr>
          <w:rPr>
            <w:color w:val="0000EE"/>
            <w:u w:val="single"/>
          </w:rPr>
          <w:t>Atos 1.8</w:t>
        </w:r>
      </w:hyperlink>
      <w:r>
        <w:rPr>
          <w:lang w:val="pt_PT" w:bidi="pt_PT"/>
        </w:rPr>
        <w:t xml:space="preserve">; </w:t>
      </w:r>
      <w:hyperlink r:id="rId31">
        <w:r>
          <w:rPr>
            <w:lang w:val="pt_PT" w:bidi="pt_PT"/>
          </w:rPr>
          <w:rPr>
            <w:color w:val="0000EE"/>
            <w:u w:val="single"/>
          </w:rPr>
          <w:t>9.15</w:t>
        </w:r>
      </w:hyperlink>
      <w:r>
        <w:rPr>
          <w:lang w:val="pt_PT" w:bidi="pt_PT"/>
        </w:rPr>
        <w:t xml:space="preserve">; </w:t>
      </w:r>
      <w:hyperlink r:id="rId25">
        <w:r>
          <w:rPr>
            <w:lang w:val="pt_PT" w:bidi="pt_PT"/>
          </w:rPr>
          <w:rPr>
            <w:color w:val="0000EE"/>
            <w:u w:val="single"/>
          </w:rPr>
          <w:t>28.31</w:t>
        </w:r>
      </w:hyperlink>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hyperlink r:id="rId65">
        <w:r>
          <w:rPr>
            <w:lang w:val="pt_PT" w:bidi="pt_PT"/>
          </w:rPr>
          <w:rPr>
            <w:color w:val="0000EE"/>
            <w:u w:val="single"/>
          </w:rPr>
          <w:t>Lucas 1.1–4</w:t>
        </w:r>
      </w:hyperlink>
      <w:r>
        <w:rPr>
          <w:lang w:val="pt_PT" w:bidi="pt_PT"/>
        </w:rPr>
        <w:t xml:space="preserve">; </w:t>
      </w:r>
      <w:hyperlink r:id="rId66">
        <w:r>
          <w:rPr>
            <w:lang w:val="pt_PT" w:bidi="pt_PT"/>
          </w:rPr>
          <w:rPr>
            <w:color w:val="0000EE"/>
            <w:u w:val="single"/>
          </w:rPr>
          <w:t>Atos 1.1–2</w:t>
        </w:r>
      </w:hyperlink>
      <w:r>
        <w:rPr>
          <w:lang w:val="pt_PT" w:bidi="pt_PT"/>
        </w:rPr>
        <w:t>). O principal destinatário do Evangelho de Lucas e do livro de Atos foi Teófilo (</w:t>
      </w:r>
      <w:hyperlink r:id="rId67">
        <w:r>
          <w:rPr>
            <w:lang w:val="pt_PT" w:bidi="pt_PT"/>
          </w:rPr>
          <w:rPr>
            <w:color w:val="0000EE"/>
            <w:u w:val="single"/>
          </w:rPr>
          <w:t>Lucas 1.3</w:t>
        </w:r>
      </w:hyperlink>
      <w:r>
        <w:rPr>
          <w:lang w:val="pt_PT" w:bidi="pt_PT"/>
        </w:rPr>
        <w:t xml:space="preserve">; </w:t>
      </w:r>
      <w:hyperlink r:id="rId68">
        <w:r>
          <w:rPr>
            <w:lang w:val="pt_PT" w:bidi="pt_PT"/>
          </w:rPr>
          <w:rPr>
            <w:color w:val="0000EE"/>
            <w:u w:val="single"/>
          </w:rPr>
          <w:t>Atos 1.1</w:t>
        </w:r>
      </w:hyperlink>
      <w:r>
        <w:rPr>
          <w:lang w:val="pt_PT" w:bidi="pt_PT"/>
        </w:rPr>
        <w:t>), que significa “aquele que ama a Deus”. Teófilo é descrito pelo título, “mais honrado” (</w:t>
      </w:r>
      <w:hyperlink r:id="rId67">
        <w:r>
          <w:rPr>
            <w:lang w:val="pt_PT" w:bidi="pt_PT"/>
          </w:rPr>
          <w:rPr>
            <w:color w:val="0000EE"/>
            <w:u w:val="single"/>
          </w:rPr>
          <w:t>Lucas 1.3</w:t>
        </w:r>
      </w:hyperlink>
      <w:r>
        <w:rPr>
          <w:lang w:val="pt_PT" w:bidi="pt_PT"/>
        </w:rPr>
        <w:t>), usado em outros lugares para os governadores romanos, como Félix e Festo (</w:t>
      </w:r>
      <w:hyperlink r:id="rId69">
        <w:r>
          <w:rPr>
            <w:lang w:val="pt_PT" w:bidi="pt_PT"/>
          </w:rPr>
          <w:rPr>
            <w:color w:val="0000EE"/>
            <w:u w:val="single"/>
          </w:rPr>
          <w:t>23.26</w:t>
        </w:r>
      </w:hyperlink>
      <w:r>
        <w:rPr>
          <w:lang w:val="pt_PT" w:bidi="pt_PT"/>
        </w:rPr>
        <w:t xml:space="preserve">; </w:t>
      </w:r>
      <w:hyperlink r:id="rId70">
        <w:r>
          <w:rPr>
            <w:lang w:val="pt_PT" w:bidi="pt_PT"/>
          </w:rPr>
          <w:rPr>
            <w:color w:val="0000EE"/>
            <w:u w:val="single"/>
          </w:rPr>
          <w:t>24.2–3</w:t>
        </w:r>
      </w:hyperlink>
      <w:r>
        <w:rPr>
          <w:lang w:val="pt_PT" w:bidi="pt_PT"/>
        </w:rPr>
        <w:t xml:space="preserve">; </w:t>
      </w:r>
      <w:hyperlink r:id="rId71">
        <w:r>
          <w:rPr>
            <w:lang w:val="pt_PT" w:bidi="pt_PT"/>
          </w:rPr>
          <w:rPr>
            <w:color w:val="0000EE"/>
            <w:u w:val="single"/>
          </w:rPr>
          <w:t>26.25</w:t>
        </w:r>
      </w:hyperlink>
      <w:r>
        <w:rPr>
          <w:lang w:val="pt_PT" w:bidi="pt_PT"/>
        </w:rPr>
        <w:t>). Teófilo pode ter sido o patrono e benfeitor de Lucas. Ele era um gentio que havia recebido instrução cristã (</w:t>
      </w:r>
      <w:hyperlink r:id="rId72">
        <w:r>
          <w:rPr>
            <w:lang w:val="pt_PT" w:bidi="pt_PT"/>
          </w:rPr>
          <w:rPr>
            <w:color w:val="0000EE"/>
            <w:u w:val="single"/>
          </w:rPr>
          <w:t>Lucas 1.4</w:t>
        </w:r>
      </w:hyperlink>
      <w:r>
        <w:rPr>
          <w:lang w:val="pt_PT" w:bidi="pt_PT"/>
        </w:rPr>
        <w:t>). Lucas queria que ele e outros tivessem uma compreensão precisa da fé cristã e de sua propagação pelo mundo mediterrâneo, para que pudessem estar “certos da verdade” sobre o cristianismo (</w:t>
      </w:r>
      <w:hyperlink r:id="rId72">
        <w:r>
          <w:rPr>
            <w:lang w:val="pt_PT" w:bidi="pt_PT"/>
          </w:rPr>
          <w:rPr>
            <w:color w:val="0000EE"/>
            <w:u w:val="single"/>
          </w:rPr>
          <w:t>Lucas 1.4</w:t>
        </w:r>
      </w:hyperlink>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hyperlink r:id="rId73">
        <w:r>
          <w:rPr>
            <w:lang w:val="pt_PT" w:bidi="pt_PT"/>
          </w:rPr>
          <w:rPr>
            <w:color w:val="0000EE"/>
            <w:u w:val="single"/>
          </w:rPr>
          <w:t>11.28</w:t>
        </w:r>
      </w:hyperlink>
      <w:r>
        <w:rPr>
          <w:lang w:val="pt_PT" w:bidi="pt_PT"/>
        </w:rPr>
        <w:t xml:space="preserve">; </w:t>
      </w:r>
      <w:hyperlink r:id="rId74">
        <w:r>
          <w:rPr>
            <w:lang w:val="pt_PT" w:bidi="pt_PT"/>
          </w:rPr>
          <w:rPr>
            <w:color w:val="0000EE"/>
            <w:u w:val="single"/>
          </w:rPr>
          <w:t>18.2</w:t>
        </w:r>
      </w:hyperlink>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hyperlink r:id="rId75">
        <w:r>
          <w:rPr>
            <w:lang w:val="pt_PT" w:bidi="pt_PT"/>
          </w:rPr>
          <w:rPr>
            <w:color w:val="0000EE"/>
            <w:u w:val="single"/>
          </w:rPr>
          <w:t>5.17–32</w:t>
        </w:r>
      </w:hyperlink>
      <w:r>
        <w:rPr>
          <w:lang w:val="pt_PT" w:bidi="pt_PT"/>
        </w:rPr>
        <w:t xml:space="preserve">; </w:t>
      </w:r>
      <w:hyperlink r:id="rId76">
        <w:r>
          <w:rPr>
            <w:lang w:val="pt_PT" w:bidi="pt_PT"/>
          </w:rPr>
          <w:rPr>
            <w:color w:val="0000EE"/>
            <w:u w:val="single"/>
          </w:rPr>
          <w:t>12.1–17</w:t>
        </w:r>
      </w:hyperlink>
      <w:r>
        <w:rPr>
          <w:lang w:val="pt_PT" w:bidi="pt_PT"/>
        </w:rPr>
        <w:t xml:space="preserve">; </w:t>
      </w:r>
      <w:hyperlink r:id="rId77">
        <w:r>
          <w:rPr>
            <w:lang w:val="pt_PT" w:bidi="pt_PT"/>
          </w:rPr>
          <w:rPr>
            <w:color w:val="0000EE"/>
            <w:u w:val="single"/>
          </w:rPr>
          <w:t>14.8–20</w:t>
        </w:r>
      </w:hyperlink>
      <w:r>
        <w:rPr>
          <w:lang w:val="pt_PT" w:bidi="pt_PT"/>
        </w:rPr>
        <w:t xml:space="preserve">; </w:t>
      </w:r>
      <w:hyperlink r:id="rId78">
        <w:r>
          <w:rPr>
            <w:lang w:val="pt_PT" w:bidi="pt_PT"/>
          </w:rPr>
          <w:rPr>
            <w:color w:val="0000EE"/>
            <w:u w:val="single"/>
          </w:rPr>
          <w:t>16.11–40</w:t>
        </w:r>
      </w:hyperlink>
      <w:r>
        <w:rPr>
          <w:lang w:val="pt_PT" w:bidi="pt_PT"/>
        </w:rPr>
        <w:t xml:space="preserve">; </w:t>
      </w:r>
      <w:hyperlink r:id="rId79">
        <w:r>
          <w:rPr>
            <w:lang w:val="pt_PT" w:bidi="pt_PT"/>
          </w:rPr>
          <w:rPr>
            <w:color w:val="0000EE"/>
            <w:u w:val="single"/>
          </w:rPr>
          <w:t>27.1–44</w:t>
        </w:r>
      </w:hyperlink>
      <w:r>
        <w:rPr>
          <w:lang w:val="pt_PT" w:bidi="pt_PT"/>
        </w:rPr>
        <w:t>).</w:t>
      </w:r>
    </w:p>
    <w:p>
      <w:pPr/>
      <w:r>
        <w:rPr>
          <w:lang w:val="pt_PT" w:bidi="pt_PT"/>
        </w:rPr>
      </w:r>
      <w:r>
        <w:rPr>
          <w:lang w:val="pt_PT" w:bidi="pt_PT"/>
        </w:rPr>
        <w:t>Atos é pontuado pelas poderosas falas de Pedro, Estêvão, Tiago e Paulo (</w:t>
      </w:r>
      <w:hyperlink r:id="rId80">
        <w:r>
          <w:rPr>
            <w:lang w:val="pt_PT" w:bidi="pt_PT"/>
          </w:rPr>
          <w:rPr>
            <w:color w:val="0000EE"/>
            <w:u w:val="single"/>
          </w:rPr>
          <w:t>2.14–40</w:t>
        </w:r>
      </w:hyperlink>
      <w:r>
        <w:rPr>
          <w:lang w:val="pt_PT" w:bidi="pt_PT"/>
        </w:rPr>
        <w:t xml:space="preserve">; </w:t>
      </w:r>
      <w:hyperlink r:id="rId49">
        <w:r>
          <w:rPr>
            <w:lang w:val="pt_PT" w:bidi="pt_PT"/>
          </w:rPr>
          <w:rPr>
            <w:color w:val="0000EE"/>
            <w:u w:val="single"/>
          </w:rPr>
          <w:t>7.2–53</w:t>
        </w:r>
      </w:hyperlink>
      <w:r>
        <w:rPr>
          <w:lang w:val="pt_PT" w:bidi="pt_PT"/>
        </w:rPr>
        <w:t xml:space="preserve">; </w:t>
      </w:r>
      <w:hyperlink r:id="rId81">
        <w:r>
          <w:rPr>
            <w:lang w:val="pt_PT" w:bidi="pt_PT"/>
          </w:rPr>
          <w:rPr>
            <w:color w:val="0000EE"/>
            <w:u w:val="single"/>
          </w:rPr>
          <w:t>15.13–21</w:t>
        </w:r>
      </w:hyperlink>
      <w:r>
        <w:rPr>
          <w:lang w:val="pt_PT" w:bidi="pt_PT"/>
        </w:rPr>
        <w:t xml:space="preserve">; </w:t>
      </w:r>
      <w:hyperlink r:id="rId82">
        <w:r>
          <w:rPr>
            <w:lang w:val="pt_PT" w:bidi="pt_PT"/>
          </w:rPr>
          <w:rPr>
            <w:color w:val="0000EE"/>
            <w:u w:val="single"/>
          </w:rPr>
          <w:t>22.3–21</w:t>
        </w:r>
      </w:hyperlink>
      <w:r>
        <w:rPr>
          <w:lang w:val="pt_PT" w:bidi="pt_PT"/>
        </w:rPr>
        <w:t>). Os estilos literários variados em Atos se encaixam nos cenários de uma maneira notável. O sermão de Pedro no dia de Pentecostes tem um caráter fortemente judaico (</w:t>
      </w:r>
      <w:hyperlink r:id="rId80">
        <w:r>
          <w:rPr>
            <w:lang w:val="pt_PT" w:bidi="pt_PT"/>
          </w:rPr>
          <w:rPr>
            <w:color w:val="0000EE"/>
            <w:u w:val="single"/>
          </w:rPr>
          <w:t>2.14–40</w:t>
        </w:r>
      </w:hyperlink>
      <w:r>
        <w:rPr>
          <w:lang w:val="pt_PT" w:bidi="pt_PT"/>
        </w:rPr>
        <w:t>), enquanto a pregação de Paulo diante dos filósofos gregos em Atenas usa as formas de oratória grega (</w:t>
      </w:r>
      <w:hyperlink r:id="rId83">
        <w:r>
          <w:rPr>
            <w:lang w:val="pt_PT" w:bidi="pt_PT"/>
          </w:rPr>
          <w:rPr>
            <w:color w:val="0000EE"/>
            <w:u w:val="single"/>
          </w:rPr>
          <w:t>17.22–31</w:t>
        </w:r>
      </w:hyperlink>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hyperlink r:id="rId84">
        <w:r>
          <w:rPr>
            <w:lang w:val="pt_PT" w:bidi="pt_PT"/>
          </w:rPr>
          <w:rPr>
            <w:color w:val="0000EE"/>
            <w:u w:val="single"/>
          </w:rPr>
          <w:t>2.16–36</w:t>
        </w:r>
      </w:hyperlink>
      <w:r>
        <w:rPr>
          <w:lang w:val="pt_PT" w:bidi="pt_PT"/>
        </w:rPr>
        <w:t xml:space="preserve">; </w:t>
      </w:r>
      <w:hyperlink r:id="rId85">
        <w:r>
          <w:rPr>
            <w:lang w:val="pt_PT" w:bidi="pt_PT"/>
          </w:rPr>
          <w:rPr>
            <w:color w:val="0000EE"/>
            <w:u w:val="single"/>
          </w:rPr>
          <w:t>4.11–12</w:t>
        </w:r>
      </w:hyperlink>
      <w:r>
        <w:rPr>
          <w:lang w:val="pt_PT" w:bidi="pt_PT"/>
        </w:rPr>
        <w:t xml:space="preserve">; </w:t>
      </w:r>
      <w:hyperlink r:id="rId86">
        <w:r>
          <w:rPr>
            <w:lang w:val="pt_PT" w:bidi="pt_PT"/>
          </w:rPr>
          <w:rPr>
            <w:color w:val="0000EE"/>
            <w:u w:val="single"/>
          </w:rPr>
          <w:t>10.42–43</w:t>
        </w:r>
      </w:hyperlink>
      <w:r>
        <w:rPr>
          <w:lang w:val="pt_PT" w:bidi="pt_PT"/>
        </w:rPr>
        <w:t xml:space="preserve">; </w:t>
      </w:r>
      <w:hyperlink r:id="rId87">
        <w:r>
          <w:rPr>
            <w:lang w:val="pt_PT" w:bidi="pt_PT"/>
          </w:rPr>
          <w:rPr>
            <w:color w:val="0000EE"/>
            <w:u w:val="single"/>
          </w:rPr>
          <w:t>13.16–41</w:t>
        </w:r>
      </w:hyperlink>
      <w:r>
        <w:rPr>
          <w:lang w:val="pt_PT" w:bidi="pt_PT"/>
        </w:rPr>
        <w:t xml:space="preserve">; </w:t>
      </w:r>
      <w:hyperlink r:id="rId88">
        <w:r>
          <w:rPr>
            <w:lang w:val="pt_PT" w:bidi="pt_PT"/>
          </w:rPr>
          <w:rPr>
            <w:color w:val="0000EE"/>
            <w:u w:val="single"/>
          </w:rPr>
          <w:t>17.30–31</w:t>
        </w:r>
      </w:hyperlink>
      <w:r>
        <w:rPr>
          <w:lang w:val="pt_PT" w:bidi="pt_PT"/>
        </w:rPr>
        <w:t xml:space="preserve">; veja </w:t>
      </w:r>
      <w:hyperlink r:id="rId89">
        <w:r>
          <w:rPr>
            <w:lang w:val="pt_PT" w:bidi="pt_PT"/>
          </w:rPr>
          <w:rPr>
            <w:color w:val="0000EE"/>
            <w:u w:val="single"/>
          </w:rPr>
          <w:t>Lucas 24.25–27</w:t>
        </w:r>
      </w:hyperlink>
      <w:r>
        <w:rPr>
          <w:lang w:val="pt_PT" w:bidi="pt_PT"/>
        </w:rPr>
        <w:t xml:space="preserve">, </w:t>
      </w:r>
      <w:hyperlink r:id="rId90">
        <w:r>
          <w:rPr>
            <w:lang w:val="pt_PT" w:bidi="pt_PT"/>
          </w:rPr>
          <w:rPr>
            <w:color w:val="0000EE"/>
            <w:u w:val="single"/>
          </w:rPr>
          <w:t>44–47</w:t>
        </w:r>
      </w:hyperlink>
      <w:r>
        <w:rPr>
          <w:lang w:val="pt_PT" w:bidi="pt_PT"/>
        </w:rPr>
        <w:t>). Também demonstra que Cristo trouxe a salvação (</w:t>
      </w:r>
      <w:hyperlink r:id="rId91">
        <w:r>
          <w:rPr>
            <w:lang w:val="pt_PT" w:bidi="pt_PT"/>
          </w:rPr>
          <w:rPr>
            <w:color w:val="0000EE"/>
            <w:u w:val="single"/>
          </w:rPr>
          <w:t>8.35</w:t>
        </w:r>
      </w:hyperlink>
      <w:r>
        <w:rPr>
          <w:lang w:val="pt_PT" w:bidi="pt_PT"/>
        </w:rPr>
        <w:t xml:space="preserve">; </w:t>
      </w:r>
      <w:hyperlink r:id="rId92">
        <w:r>
          <w:rPr>
            <w:lang w:val="pt_PT" w:bidi="pt_PT"/>
          </w:rPr>
          <w:rPr>
            <w:color w:val="0000EE"/>
            <w:u w:val="single"/>
          </w:rPr>
          <w:t>10.36</w:t>
        </w:r>
      </w:hyperlink>
      <w:r>
        <w:rPr>
          <w:lang w:val="pt_PT" w:bidi="pt_PT"/>
        </w:rPr>
        <w:t xml:space="preserve">; </w:t>
      </w:r>
      <w:hyperlink r:id="rId93">
        <w:r>
          <w:rPr>
            <w:lang w:val="pt_PT" w:bidi="pt_PT"/>
          </w:rPr>
          <w:rPr>
            <w:color w:val="0000EE"/>
            <w:u w:val="single"/>
          </w:rPr>
          <w:t>16.17</w:t>
        </w:r>
      </w:hyperlink>
      <w:r>
        <w:rPr>
          <w:lang w:val="pt_PT" w:bidi="pt_PT"/>
        </w:rPr>
        <w:t xml:space="preserve">, </w:t>
      </w:r>
      <w:hyperlink r:id="rId17">
        <w:r>
          <w:rPr>
            <w:lang w:val="pt_PT" w:bidi="pt_PT"/>
          </w:rPr>
          <w:rPr>
            <w:color w:val="0000EE"/>
            <w:u w:val="single"/>
          </w:rPr>
          <w:t>30–31</w:t>
        </w:r>
      </w:hyperlink>
      <w:r>
        <w:rPr>
          <w:lang w:val="pt_PT" w:bidi="pt_PT"/>
        </w:rPr>
        <w:t>), a oração avança o Reino de Deus (</w:t>
      </w:r>
      <w:hyperlink r:id="rId94">
        <w:r>
          <w:rPr>
            <w:lang w:val="pt_PT" w:bidi="pt_PT"/>
          </w:rPr>
          <w:rPr>
            <w:color w:val="0000EE"/>
            <w:u w:val="single"/>
          </w:rPr>
          <w:t>1.12–15</w:t>
        </w:r>
      </w:hyperlink>
      <w:r>
        <w:rPr>
          <w:lang w:val="pt_PT" w:bidi="pt_PT"/>
        </w:rPr>
        <w:t xml:space="preserve">; </w:t>
      </w:r>
      <w:hyperlink r:id="rId95">
        <w:r>
          <w:rPr>
            <w:lang w:val="pt_PT" w:bidi="pt_PT"/>
          </w:rPr>
          <w:rPr>
            <w:color w:val="0000EE"/>
            <w:u w:val="single"/>
          </w:rPr>
          <w:t>2.1–4</w:t>
        </w:r>
      </w:hyperlink>
      <w:r>
        <w:rPr>
          <w:lang w:val="pt_PT" w:bidi="pt_PT"/>
        </w:rPr>
        <w:t xml:space="preserve">; </w:t>
      </w:r>
      <w:hyperlink r:id="rId96">
        <w:r>
          <w:rPr>
            <w:lang w:val="pt_PT" w:bidi="pt_PT"/>
          </w:rPr>
          <w:rPr>
            <w:color w:val="0000EE"/>
            <w:u w:val="single"/>
          </w:rPr>
          <w:t>4.24–31</w:t>
        </w:r>
      </w:hyperlink>
      <w:r>
        <w:rPr>
          <w:lang w:val="pt_PT" w:bidi="pt_PT"/>
        </w:rPr>
        <w:t xml:space="preserve">; </w:t>
      </w:r>
      <w:hyperlink r:id="rId97">
        <w:r>
          <w:rPr>
            <w:lang w:val="pt_PT" w:bidi="pt_PT"/>
          </w:rPr>
          <w:rPr>
            <w:color w:val="0000EE"/>
            <w:u w:val="single"/>
          </w:rPr>
          <w:t>12.5</w:t>
        </w:r>
      </w:hyperlink>
      <w:r>
        <w:rPr>
          <w:lang w:val="pt_PT" w:bidi="pt_PT"/>
        </w:rPr>
        <w:t>), e o Espírito Santo estimula e equipa o povo de Deus para realizar sua missão (</w:t>
      </w:r>
      <w:hyperlink r:id="rId22">
        <w:r>
          <w:rPr>
            <w:lang w:val="pt_PT" w:bidi="pt_PT"/>
          </w:rPr>
          <w:rPr>
            <w:color w:val="0000EE"/>
            <w:u w:val="single"/>
          </w:rPr>
          <w:t>1.8</w:t>
        </w:r>
      </w:hyperlink>
      <w:r>
        <w:rPr>
          <w:lang w:val="pt_PT" w:bidi="pt_PT"/>
        </w:rPr>
        <w:t xml:space="preserve">; </w:t>
      </w:r>
      <w:hyperlink r:id="rId98">
        <w:r>
          <w:rPr>
            <w:lang w:val="pt_PT" w:bidi="pt_PT"/>
          </w:rPr>
          <w:rPr>
            <w:color w:val="0000EE"/>
            <w:u w:val="single"/>
          </w:rPr>
          <w:t>4.8</w:t>
        </w:r>
      </w:hyperlink>
      <w:r>
        <w:rPr>
          <w:lang w:val="pt_PT" w:bidi="pt_PT"/>
        </w:rPr>
        <w:t xml:space="preserve">, </w:t>
      </w:r>
      <w:hyperlink r:id="rId99">
        <w:r>
          <w:rPr>
            <w:lang w:val="pt_PT" w:bidi="pt_PT"/>
          </w:rPr>
          <w:rPr>
            <w:color w:val="0000EE"/>
            <w:u w:val="single"/>
          </w:rPr>
          <w:t>31</w:t>
        </w:r>
      </w:hyperlink>
      <w:r>
        <w:rPr>
          <w:lang w:val="pt_PT" w:bidi="pt_PT"/>
        </w:rPr>
        <w:t xml:space="preserve">; </w:t>
      </w:r>
      <w:hyperlink r:id="rId100">
        <w:r>
          <w:rPr>
            <w:lang w:val="pt_PT" w:bidi="pt_PT"/>
          </w:rPr>
          <w:rPr>
            <w:color w:val="0000EE"/>
            <w:u w:val="single"/>
          </w:rPr>
          <w:t>6.3</w:t>
        </w:r>
      </w:hyperlink>
      <w:r>
        <w:rPr>
          <w:lang w:val="pt_PT" w:bidi="pt_PT"/>
        </w:rPr>
        <w:t xml:space="preserve">, </w:t>
      </w:r>
      <w:hyperlink r:id="rId101">
        <w:r>
          <w:rPr>
            <w:lang w:val="pt_PT" w:bidi="pt_PT"/>
          </w:rPr>
          <w:rPr>
            <w:color w:val="0000EE"/>
            <w:u w:val="single"/>
          </w:rPr>
          <w:t>5</w:t>
        </w:r>
      </w:hyperlink>
      <w:r>
        <w:rPr>
          <w:lang w:val="pt_PT" w:bidi="pt_PT"/>
        </w:rPr>
        <w:t xml:space="preserve">, </w:t>
      </w:r>
      <w:hyperlink r:id="rId102">
        <w:r>
          <w:rPr>
            <w:lang w:val="pt_PT" w:bidi="pt_PT"/>
          </w:rPr>
          <w:rPr>
            <w:color w:val="0000EE"/>
            <w:u w:val="single"/>
          </w:rPr>
          <w:t>10</w:t>
        </w:r>
      </w:hyperlink>
      <w:r>
        <w:rPr>
          <w:lang w:val="pt_PT" w:bidi="pt_PT"/>
        </w:rPr>
        <w:t xml:space="preserve">; </w:t>
      </w:r>
      <w:hyperlink r:id="rId103">
        <w:r>
          <w:rPr>
            <w:lang w:val="pt_PT" w:bidi="pt_PT"/>
          </w:rPr>
          <w:rPr>
            <w:color w:val="0000EE"/>
            <w:u w:val="single"/>
          </w:rPr>
          <w:t>7.55</w:t>
        </w:r>
      </w:hyperlink>
      <w:r>
        <w:rPr>
          <w:lang w:val="pt_PT" w:bidi="pt_PT"/>
        </w:rPr>
        <w:t xml:space="preserve">; </w:t>
      </w:r>
      <w:hyperlink r:id="rId104">
        <w:r>
          <w:rPr>
            <w:lang w:val="pt_PT" w:bidi="pt_PT"/>
          </w:rPr>
          <w:rPr>
            <w:color w:val="0000EE"/>
            <w:u w:val="single"/>
          </w:rPr>
          <w:t>11.24</w:t>
        </w:r>
      </w:hyperlink>
      <w:r>
        <w:rPr>
          <w:lang w:val="pt_PT" w:bidi="pt_PT"/>
        </w:rPr>
        <w:t xml:space="preserve">; </w:t>
      </w:r>
      <w:hyperlink r:id="rId105">
        <w:r>
          <w:rPr>
            <w:lang w:val="pt_PT" w:bidi="pt_PT"/>
          </w:rPr>
          <w:rPr>
            <w:color w:val="0000EE"/>
            <w:u w:val="single"/>
          </w:rPr>
          <w:t>13.9</w:t>
        </w:r>
      </w:hyperlink>
      <w:r>
        <w:rPr>
          <w:lang w:val="pt_PT" w:bidi="pt_PT"/>
        </w:rPr>
        <w:t xml:space="preserve">, </w:t>
      </w:r>
      <w:hyperlink r:id="rId106">
        <w:r>
          <w:rPr>
            <w:lang w:val="pt_PT" w:bidi="pt_PT"/>
          </w:rPr>
          <w:rPr>
            <w:color w:val="0000EE"/>
            <w:u w:val="single"/>
          </w:rPr>
          <w:t>52</w:t>
        </w:r>
      </w:hyperlink>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hyperlink r:id="rId107">
        <w:r>
          <w:rPr>
            <w:lang w:val="pt_PT" w:bidi="pt_PT"/>
          </w:rPr>
          <w:rPr>
            <w:color w:val="0000EE"/>
            <w:u w:val="single"/>
          </w:rPr>
          <w:t>1.22</w:t>
        </w:r>
      </w:hyperlink>
      <w:r>
        <w:rPr>
          <w:lang w:val="pt_PT" w:bidi="pt_PT"/>
        </w:rPr>
        <w:t xml:space="preserve">; </w:t>
      </w:r>
      <w:hyperlink r:id="rId108">
        <w:r>
          <w:rPr>
            <w:lang w:val="pt_PT" w:bidi="pt_PT"/>
          </w:rPr>
          <w:rPr>
            <w:color w:val="0000EE"/>
            <w:u w:val="single"/>
          </w:rPr>
          <w:t>10.39–41</w:t>
        </w:r>
      </w:hyperlink>
      <w:r>
        <w:rPr>
          <w:lang w:val="pt_PT" w:bidi="pt_PT"/>
        </w:rPr>
        <w:t xml:space="preserve">; veja </w:t>
      </w:r>
      <w:hyperlink r:id="rId109">
        <w:r>
          <w:rPr>
            <w:lang w:val="pt_PT" w:bidi="pt_PT"/>
          </w:rPr>
          <w:rPr>
            <w:color w:val="0000EE"/>
            <w:u w:val="single"/>
          </w:rPr>
          <w:t>Lucas 1.2</w:t>
        </w:r>
      </w:hyperlink>
      <w:r>
        <w:rPr>
          <w:lang w:val="pt_PT" w:bidi="pt_PT"/>
        </w:rPr>
        <w:t>) e explicaram o significado de Jesus no plano de Deus para redimir a humanidade (</w:t>
      </w:r>
      <w:hyperlink r:id="rId110">
        <w:r>
          <w:rPr>
            <w:lang w:val="pt_PT" w:bidi="pt_PT"/>
          </w:rPr>
          <w:rPr>
            <w:color w:val="0000EE"/>
            <w:u w:val="single"/>
          </w:rPr>
          <w:t>2.40</w:t>
        </w:r>
      </w:hyperlink>
      <w:r>
        <w:rPr>
          <w:lang w:val="pt_PT" w:bidi="pt_PT"/>
        </w:rPr>
        <w:t xml:space="preserve">; </w:t>
      </w:r>
      <w:hyperlink r:id="rId111">
        <w:r>
          <w:rPr>
            <w:lang w:val="pt_PT" w:bidi="pt_PT"/>
          </w:rPr>
          <w:rPr>
            <w:color w:val="0000EE"/>
            <w:u w:val="single"/>
          </w:rPr>
          <w:t>3.15</w:t>
        </w:r>
      </w:hyperlink>
      <w:r>
        <w:rPr>
          <w:lang w:val="pt_PT" w:bidi="pt_PT"/>
        </w:rPr>
        <w:t xml:space="preserve">; </w:t>
      </w:r>
      <w:hyperlink r:id="rId112">
        <w:r>
          <w:rPr>
            <w:lang w:val="pt_PT" w:bidi="pt_PT"/>
          </w:rPr>
          <w:rPr>
            <w:color w:val="0000EE"/>
            <w:u w:val="single"/>
          </w:rPr>
          <w:t>4.33</w:t>
        </w:r>
      </w:hyperlink>
      <w:r>
        <w:rPr>
          <w:lang w:val="pt_PT" w:bidi="pt_PT"/>
        </w:rPr>
        <w:t xml:space="preserve">; </w:t>
      </w:r>
      <w:hyperlink r:id="rId113">
        <w:r>
          <w:rPr>
            <w:lang w:val="pt_PT" w:bidi="pt_PT"/>
          </w:rPr>
          <w:rPr>
            <w:color w:val="0000EE"/>
            <w:u w:val="single"/>
          </w:rPr>
          <w:t>10.42</w:t>
        </w:r>
      </w:hyperlink>
      <w:r>
        <w:rPr>
          <w:lang w:val="pt_PT" w:bidi="pt_PT"/>
        </w:rPr>
        <w:t>). Mais tarde, outros líderes cristãos compartilharam na tarefa de testificar de seu Senhor; Estêvão e Filipe são dois exemplos notáveis de testemunhas ousadas da fé (</w:t>
      </w:r>
      <w:hyperlink r:id="rId49">
        <w:r>
          <w:rPr>
            <w:lang w:val="pt_PT" w:bidi="pt_PT"/>
          </w:rPr>
          <w:rPr>
            <w:color w:val="0000EE"/>
            <w:u w:val="single"/>
          </w:rPr>
          <w:t>7.2–53</w:t>
        </w:r>
      </w:hyperlink>
      <w:r>
        <w:rPr>
          <w:lang w:val="pt_PT" w:bidi="pt_PT"/>
        </w:rPr>
        <w:t xml:space="preserve">; </w:t>
      </w:r>
      <w:hyperlink r:id="rId114">
        <w:r>
          <w:rPr>
            <w:lang w:val="pt_PT" w:bidi="pt_PT"/>
          </w:rPr>
          <w:rPr>
            <w:color w:val="0000EE"/>
            <w:u w:val="single"/>
          </w:rPr>
          <w:t>8.4–40</w:t>
        </w:r>
      </w:hyperlink>
      <w:r>
        <w:rPr>
          <w:lang w:val="pt_PT" w:bidi="pt_PT"/>
        </w:rPr>
        <w:t xml:space="preserve">). Outros cristãos simplesmente compartilharam sua fé enquanto tinham oportunidade (por exemplo, </w:t>
      </w:r>
      <w:hyperlink r:id="rId115">
        <w:r>
          <w:rPr>
            <w:lang w:val="pt_PT" w:bidi="pt_PT"/>
          </w:rPr>
          <w:rPr>
            <w:color w:val="0000EE"/>
            <w:u w:val="single"/>
          </w:rPr>
          <w:t>8.1–4</w:t>
        </w:r>
      </w:hyperlink>
      <w:r>
        <w:rPr>
          <w:lang w:val="pt_PT" w:bidi="pt_PT"/>
        </w:rPr>
        <w:t xml:space="preserve">; </w:t>
      </w:r>
      <w:hyperlink r:id="rId116">
        <w:r>
          <w:rPr>
            <w:lang w:val="pt_PT" w:bidi="pt_PT"/>
          </w:rPr>
          <w:rPr>
            <w:color w:val="0000EE"/>
            <w:u w:val="single"/>
          </w:rPr>
          <w:t>11.19–21</w:t>
        </w:r>
      </w:hyperlink>
      <w:r>
        <w:rPr>
          <w:lang w:val="pt_PT" w:bidi="pt_PT"/>
        </w:rPr>
        <w:t>). Mais tarde, Deus chamou Paulo para participar deste empreendimento como seu “instrumento escolhido para levar [sua] mensagem aos gentios e aos reis, bem como ao povo de Israel” (</w:t>
      </w:r>
      <w:hyperlink r:id="rId31">
        <w:r>
          <w:rPr>
            <w:lang w:val="pt_PT" w:bidi="pt_PT"/>
          </w:rPr>
          <w:rPr>
            <w:color w:val="0000EE"/>
            <w:u w:val="single"/>
          </w:rPr>
          <w:t>9.15</w:t>
        </w:r>
      </w:hyperlink>
      <w:r>
        <w:rPr>
          <w:lang w:val="pt_PT" w:bidi="pt_PT"/>
        </w:rPr>
        <w:t xml:space="preserve">; </w:t>
      </w:r>
      <w:hyperlink r:id="rId117">
        <w:r>
          <w:rPr>
            <w:lang w:val="pt_PT" w:bidi="pt_PT"/>
          </w:rPr>
          <w:rPr>
            <w:color w:val="0000EE"/>
            <w:u w:val="single"/>
          </w:rPr>
          <w:t>22.1–21</w:t>
        </w:r>
      </w:hyperlink>
      <w:r>
        <w:rPr>
          <w:lang w:val="pt_PT" w:bidi="pt_PT"/>
        </w:rPr>
        <w:t xml:space="preserve">; </w:t>
      </w:r>
      <w:hyperlink r:id="rId118">
        <w:r>
          <w:rPr>
            <w:lang w:val="pt_PT" w:bidi="pt_PT"/>
          </w:rPr>
          <w:rPr>
            <w:color w:val="0000EE"/>
            <w:u w:val="single"/>
          </w:rPr>
          <w:t>26.2–23</w:t>
        </w:r>
      </w:hyperlink>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hyperlink r:id="rId119">
        <w:r>
          <w:rPr>
            <w:lang w:val="pt_PT" w:bidi="pt_PT"/>
          </w:rPr>
          <w:rPr>
            <w:color w:val="0000EE"/>
            <w:u w:val="single"/>
          </w:rPr>
          <w:t>2.22–36</w:t>
        </w:r>
      </w:hyperlink>
      <w:r>
        <w:rPr>
          <w:lang w:val="pt_PT" w:bidi="pt_PT"/>
        </w:rPr>
        <w:t xml:space="preserve">; </w:t>
      </w:r>
      <w:hyperlink r:id="rId111">
        <w:r>
          <w:rPr>
            <w:lang w:val="pt_PT" w:bidi="pt_PT"/>
          </w:rPr>
          <w:rPr>
            <w:color w:val="0000EE"/>
            <w:u w:val="single"/>
          </w:rPr>
          <w:t>3.15</w:t>
        </w:r>
      </w:hyperlink>
      <w:r>
        <w:rPr>
          <w:lang w:val="pt_PT" w:bidi="pt_PT"/>
        </w:rPr>
        <w:t xml:space="preserve">; </w:t>
      </w:r>
      <w:hyperlink r:id="rId120">
        <w:r>
          <w:rPr>
            <w:lang w:val="pt_PT" w:bidi="pt_PT"/>
          </w:rPr>
          <w:rPr>
            <w:color w:val="0000EE"/>
            <w:u w:val="single"/>
          </w:rPr>
          <w:t>4.27–28</w:t>
        </w:r>
      </w:hyperlink>
      <w:r>
        <w:rPr>
          <w:lang w:val="pt_PT" w:bidi="pt_PT"/>
        </w:rPr>
        <w:t xml:space="preserve">, </w:t>
      </w:r>
      <w:hyperlink r:id="rId112">
        <w:r>
          <w:rPr>
            <w:lang w:val="pt_PT" w:bidi="pt_PT"/>
          </w:rPr>
          <w:rPr>
            <w:color w:val="0000EE"/>
            <w:u w:val="single"/>
          </w:rPr>
          <w:t>33</w:t>
        </w:r>
      </w:hyperlink>
      <w:r>
        <w:rPr>
          <w:lang w:val="pt_PT" w:bidi="pt_PT"/>
        </w:rPr>
        <w:t xml:space="preserve">; </w:t>
      </w:r>
      <w:hyperlink r:id="rId121">
        <w:r>
          <w:rPr>
            <w:lang w:val="pt_PT" w:bidi="pt_PT"/>
          </w:rPr>
          <w:rPr>
            <w:color w:val="0000EE"/>
            <w:u w:val="single"/>
          </w:rPr>
          <w:t>7.52</w:t>
        </w:r>
      </w:hyperlink>
      <w:r>
        <w:rPr>
          <w:lang w:val="pt_PT" w:bidi="pt_PT"/>
        </w:rPr>
        <w:t xml:space="preserve">; </w:t>
      </w:r>
      <w:hyperlink r:id="rId122">
        <w:r>
          <w:rPr>
            <w:lang w:val="pt_PT" w:bidi="pt_PT"/>
          </w:rPr>
          <w:rPr>
            <w:color w:val="0000EE"/>
            <w:u w:val="single"/>
          </w:rPr>
          <w:t>8.32–35</w:t>
        </w:r>
      </w:hyperlink>
      <w:r>
        <w:rPr>
          <w:lang w:val="pt_PT" w:bidi="pt_PT"/>
        </w:rPr>
        <w:t xml:space="preserve">; </w:t>
      </w:r>
      <w:hyperlink r:id="rId123">
        <w:r>
          <w:rPr>
            <w:lang w:val="pt_PT" w:bidi="pt_PT"/>
          </w:rPr>
          <w:rPr>
            <w:color w:val="0000EE"/>
            <w:u w:val="single"/>
          </w:rPr>
          <w:t>10.38–43</w:t>
        </w:r>
      </w:hyperlink>
      <w:r>
        <w:rPr>
          <w:lang w:val="pt_PT" w:bidi="pt_PT"/>
        </w:rPr>
        <w:t xml:space="preserve">; </w:t>
      </w:r>
      <w:hyperlink r:id="rId124">
        <w:r>
          <w:rPr>
            <w:lang w:val="pt_PT" w:bidi="pt_PT"/>
          </w:rPr>
          <w:rPr>
            <w:color w:val="0000EE"/>
            <w:u w:val="single"/>
          </w:rPr>
          <w:t>13.26–39</w:t>
        </w:r>
      </w:hyperlink>
      <w:r>
        <w:rPr>
          <w:lang w:val="pt_PT" w:bidi="pt_PT"/>
        </w:rPr>
        <w:t>). Jesus foi designado para redimir a humanidade, então a mensagem dos apóstolos foi: “Creia no Senhor Jesus e você será salvo” (</w:t>
      </w:r>
      <w:hyperlink r:id="rId125">
        <w:r>
          <w:rPr>
            <w:lang w:val="pt_PT" w:bidi="pt_PT"/>
          </w:rPr>
          <w:rPr>
            <w:color w:val="0000EE"/>
            <w:u w:val="single"/>
          </w:rPr>
          <w:t>16.31</w:t>
        </w:r>
      </w:hyperlink>
      <w:r>
        <w:rPr>
          <w:lang w:val="pt_PT" w:bidi="pt_PT"/>
        </w:rPr>
        <w:t>). Deus oferece sua graça e perdão a todos, e “há paz com Deus através de Jesus Cristo, que é Senhor de todos” (</w:t>
      </w:r>
      <w:hyperlink r:id="rId92">
        <w:r>
          <w:rPr>
            <w:lang w:val="pt_PT" w:bidi="pt_PT"/>
          </w:rPr>
          <w:rPr>
            <w:color w:val="0000EE"/>
            <w:u w:val="single"/>
          </w:rPr>
          <w:t>10.36</w:t>
        </w:r>
      </w:hyperlink>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6">
        <w:r>
          <w:rPr>
            <w:lang w:val="pt_PT" w:bidi="pt_PT"/>
          </w:rPr>
          <w:rPr>
            <w:color w:val="0000EE"/>
            <w:u w:val="single"/>
          </w:rPr>
          <w:t>1.12–14</w:t>
        </w:r>
      </w:hyperlink>
      <w:r>
        <w:rPr>
          <w:lang w:val="pt_PT" w:bidi="pt_PT"/>
        </w:rPr>
        <w:t>) para judeus e gentios espalhados por todo o mundo romano. Na verdade, o livro se encerra com Paulo compartilhando a mensagem livremente no epicentro do mundo conhecido (</w:t>
      </w:r>
      <w:hyperlink r:id="rId127">
        <w:r>
          <w:rPr>
            <w:lang w:val="pt_PT" w:bidi="pt_PT"/>
          </w:rPr>
          <w:rPr>
            <w:color w:val="0000EE"/>
            <w:u w:val="single"/>
          </w:rPr>
          <w:t>28.30–31</w:t>
        </w:r>
      </w:hyperlink>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hyperlink r:id="rId128">
        <w:r>
          <w:rPr>
            <w:lang w:val="pt_PT" w:bidi="pt_PT"/>
          </w:rPr>
          <w:rPr>
            <w:color w:val="0000EE"/>
            <w:u w:val="single"/>
          </w:rPr>
          <w:t>Atos 12.23</w:t>
        </w:r>
      </w:hyperlink>
      <w:r>
        <w:rPr>
          <w:lang w:val="pt_PT" w:bidi="pt_PT"/>
        </w:rPr>
        <w:t>), então a execução do apóstolo Tiago e a prisão de Pedro (</w:t>
      </w:r>
      <w:hyperlink r:id="rId129">
        <w:r>
          <w:rPr>
            <w:lang w:val="pt_PT" w:bidi="pt_PT"/>
          </w:rPr>
          <w:rPr>
            <w:color w:val="0000EE"/>
            <w:u w:val="single"/>
          </w:rPr>
          <w:t>12.2–17</w:t>
        </w:r>
      </w:hyperlink>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hyperlink r:id="rId130">
        <w:r>
          <w:rPr>
            <w:lang w:val="pt_PT" w:bidi="pt_PT"/>
          </w:rPr>
          <w:rPr>
            <w:color w:val="0000EE"/>
            <w:u w:val="single"/>
          </w:rPr>
          <w:t>11.28–29</w:t>
        </w:r>
      </w:hyperlink>
      <w:r>
        <w:rPr>
          <w:lang w:val="pt_PT" w:bidi="pt_PT"/>
        </w:rPr>
        <w:t>). Quando a igreja em Antioquia enviou ajuda para o problema da fome para a igreja em Jerusalém, Barnabé e Paulo foram nomeados para carregar o dinheiro (</w:t>
      </w:r>
      <w:hyperlink r:id="rId131">
        <w:r>
          <w:rPr>
            <w:lang w:val="pt_PT" w:bidi="pt_PT"/>
          </w:rPr>
          <w:rPr>
            <w:color w:val="0000EE"/>
            <w:u w:val="single"/>
          </w:rPr>
          <w:t>11.29–30</w:t>
        </w:r>
      </w:hyperlink>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hyperlink r:id="rId132">
        <w:r>
          <w:rPr>
            <w:lang w:val="pt_PT" w:bidi="pt_PT"/>
          </w:rPr>
          <w:rPr>
            <w:color w:val="0000EE"/>
            <w:u w:val="single"/>
          </w:rPr>
          <w:t>18.12</w:t>
        </w:r>
      </w:hyperlink>
      <w:r>
        <w:rPr>
          <w:lang w:val="pt_PT" w:bidi="pt_PT"/>
        </w:rPr>
        <w:t xml:space="preserve">). Uma inscrição descoberta nas proximidades de Delfos indica que o mandato de Gálio foi de 51–52 d.C. O incidente em </w:t>
      </w:r>
      <w:hyperlink r:id="rId133">
        <w:r>
          <w:rPr>
            <w:lang w:val="pt_PT" w:bidi="pt_PT"/>
          </w:rPr>
          <w:rPr>
            <w:color w:val="0000EE"/>
            <w:u w:val="single"/>
          </w:rPr>
          <w:t>18.12–17</w:t>
        </w:r>
      </w:hyperlink>
      <w:r>
        <w:rPr>
          <w:lang w:val="pt_PT" w:bidi="pt_PT"/>
        </w:rPr>
        <w:t xml:space="preserve"> ocorreu provavelmente no início do mandato de Gálio. Paulo então deixou Corinto não muito depois, provavelmente no verão ou outono de 52 d.C. Ele havia passado dezoito meses em Corinto (</w:t>
      </w:r>
      <w:hyperlink r:id="rId134">
        <w:r>
          <w:rPr>
            <w:lang w:val="pt_PT" w:bidi="pt_PT"/>
          </w:rPr>
          <w:rPr>
            <w:color w:val="0000EE"/>
            <w:u w:val="single"/>
          </w:rPr>
          <w:t>18.11</w:t>
        </w:r>
      </w:hyperlink>
      <w:r>
        <w:rPr>
          <w:lang w:val="pt_PT" w:bidi="pt_PT"/>
        </w:rPr>
        <w:t xml:space="preserve">), então ele provavelmente chegou no início de 50 d.C. Essa data de chegada é confirmada em </w:t>
      </w:r>
      <w:hyperlink r:id="rId74">
        <w:r>
          <w:rPr>
            <w:lang w:val="pt_PT" w:bidi="pt_PT"/>
          </w:rPr>
          <w:rPr>
            <w:color w:val="0000EE"/>
            <w:u w:val="single"/>
          </w:rPr>
          <w:t>18.2</w:t>
        </w:r>
      </w:hyperlink>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hyperlink r:id="rId135">
        <w:r>
          <w:rPr>
            <w:lang w:val="pt_PT" w:bidi="pt_PT"/>
          </w:rPr>
          <w:rPr>
            <w:color w:val="0000EE"/>
            <w:u w:val="single"/>
          </w:rPr>
          <w:t>24.27</w:t>
        </w:r>
      </w:hyperlink>
      <w:r>
        <w:rPr>
          <w:lang w:val="pt_PT" w:bidi="pt_PT"/>
        </w:rPr>
        <w:t>), provavelmente no verão de 59 d.C. Este evento nos ajuda a datar eventos no resto do livro de Atos. A prisão de Paulo (</w:t>
      </w:r>
      <w:hyperlink r:id="rId136">
        <w:r>
          <w:rPr>
            <w:lang w:val="pt_PT" w:bidi="pt_PT"/>
          </w:rPr>
          <w:rPr>
            <w:color w:val="0000EE"/>
            <w:u w:val="single"/>
          </w:rPr>
          <w:t>21.33</w:t>
        </w:r>
      </w:hyperlink>
      <w:r>
        <w:rPr>
          <w:lang w:val="pt_PT" w:bidi="pt_PT"/>
        </w:rPr>
        <w:t>) foi cerca de dois anos antes (57 d.C.). Mais cedo naquela primavera, Paulo havia celebrado a Páscoa em Filipos (</w:t>
      </w:r>
      <w:hyperlink r:id="rId137">
        <w:r>
          <w:rPr>
            <w:lang w:val="pt_PT" w:bidi="pt_PT"/>
          </w:rPr>
          <w:rPr>
            <w:color w:val="0000EE"/>
            <w:u w:val="single"/>
          </w:rPr>
          <w:t>20.6</w:t>
        </w:r>
      </w:hyperlink>
      <w:r>
        <w:rPr>
          <w:lang w:val="pt_PT" w:bidi="pt_PT"/>
        </w:rPr>
        <w:t>; abril de 57 d.C.). Paulo havia acabado de passar três meses na Grécia (</w:t>
      </w:r>
      <w:hyperlink r:id="rId138">
        <w:r>
          <w:rPr>
            <w:lang w:val="pt_PT" w:bidi="pt_PT"/>
          </w:rPr>
          <w:rPr>
            <w:color w:val="0000EE"/>
            <w:u w:val="single"/>
          </w:rPr>
          <w:t>20.3</w:t>
        </w:r>
      </w:hyperlink>
      <w:r>
        <w:rPr>
          <w:lang w:val="pt_PT" w:bidi="pt_PT"/>
        </w:rPr>
        <w:t xml:space="preserve">), provavelmente o inverno de 56–57 d.C. (veja </w:t>
      </w:r>
      <w:hyperlink r:id="rId139">
        <w:r>
          <w:rPr>
            <w:lang w:val="pt_PT" w:bidi="pt_PT"/>
          </w:rPr>
          <w:rPr>
            <w:color w:val="0000EE"/>
            <w:u w:val="single"/>
          </w:rPr>
          <w:t>1Co 16.6</w:t>
        </w:r>
      </w:hyperlink>
      <w:r>
        <w:rPr>
          <w:lang w:val="pt_PT" w:bidi="pt_PT"/>
        </w:rPr>
        <w:t>). Anteriormente, Paulo havia passado três anos em Éfeso (</w:t>
      </w:r>
      <w:hyperlink r:id="rId140">
        <w:r>
          <w:rPr>
            <w:lang w:val="pt_PT" w:bidi="pt_PT"/>
          </w:rPr>
          <w:rPr>
            <w:color w:val="0000EE"/>
            <w:u w:val="single"/>
          </w:rPr>
          <w:t>Atos 20.31</w:t>
        </w:r>
      </w:hyperlink>
      <w:r>
        <w:rPr>
          <w:lang w:val="pt_PT" w:bidi="pt_PT"/>
        </w:rPr>
        <w:t>; 53–56 d.C.).</w:t>
      </w:r>
    </w:p>
    <w:p>
      <w:pPr/>
      <w:r>
        <w:rPr>
          <w:lang w:val="pt_PT" w:bidi="pt_PT"/>
        </w:rPr>
      </w:r>
      <w:r>
        <w:rPr>
          <w:lang w:val="pt_PT" w:bidi="pt_PT"/>
        </w:rPr>
        <w:t>Depois que Festo chegou no verão de 59 d.C., Paulo foi rapidamente julgado e apelou para César (</w:t>
      </w:r>
      <w:hyperlink r:id="rId141">
        <w:r>
          <w:rPr>
            <w:lang w:val="pt_PT" w:bidi="pt_PT"/>
          </w:rPr>
          <w:rPr>
            <w:color w:val="0000EE"/>
            <w:u w:val="single"/>
          </w:rPr>
          <w:t>25.1–12</w:t>
        </w:r>
      </w:hyperlink>
      <w:r>
        <w:rPr>
          <w:lang w:val="pt_PT" w:bidi="pt_PT"/>
        </w:rPr>
        <w:t>). A viagem para Roma provavelmente começou no outono de 59 d.C. (</w:t>
      </w:r>
      <w:hyperlink r:id="rId142">
        <w:r>
          <w:rPr>
            <w:lang w:val="pt_PT" w:bidi="pt_PT"/>
          </w:rPr>
          <w:rPr>
            <w:color w:val="0000EE"/>
            <w:u w:val="single"/>
          </w:rPr>
          <w:t>27.2</w:t>
        </w:r>
      </w:hyperlink>
      <w:r>
        <w:rPr>
          <w:lang w:val="pt_PT" w:bidi="pt_PT"/>
        </w:rPr>
        <w:t>) e terminou no início de 60 d.C. (</w:t>
      </w:r>
      <w:hyperlink r:id="rId143">
        <w:r>
          <w:rPr>
            <w:lang w:val="pt_PT" w:bidi="pt_PT"/>
          </w:rPr>
          <w:rPr>
            <w:color w:val="0000EE"/>
            <w:u w:val="single"/>
          </w:rPr>
          <w:t>28.11–16</w:t>
        </w:r>
      </w:hyperlink>
      <w:r>
        <w:rPr>
          <w:lang w:val="pt_PT" w:bidi="pt_PT"/>
        </w:rPr>
        <w:t>). Paulo ficou em Roma “pelos próximos dois anos” (</w:t>
      </w:r>
      <w:hyperlink r:id="rId144">
        <w:r>
          <w:rPr>
            <w:lang w:val="pt_PT" w:bidi="pt_PT"/>
          </w:rPr>
          <w:rPr>
            <w:color w:val="0000EE"/>
            <w:u w:val="single"/>
          </w:rPr>
          <w:t>28.30</w:t>
        </w:r>
      </w:hyperlink>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