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i/>
          <w:lang w:val="ru_RU" w:bidi="ru_RU"/>
        </w:rPr>
        <w:t>Второзаконие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Сначала Бог открыл национальную «конституцию» Израиля Моисею на горе Синай (</w:t>
      </w:r>
      <w:hyperlink r:id="rId15">
        <w:r>
          <w:rPr>
            <w:lang w:val="ru_RU" w:bidi="ru_RU"/>
          </w:rPr>
          <w:rPr>
            <w:color w:val="0000EE"/>
            <w:u w:val="single"/>
          </w:rPr>
          <w:t>Исх.20–23</w:t>
        </w:r>
      </w:hyperlink>
      <w:r>
        <w:rPr>
          <w:lang w:val="ru_RU" w:bidi="ru_RU"/>
        </w:rP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2"/>
      </w:pPr>
      <w:r>
        <w:rPr>
          <w:lang w:val="ru_RU" w:bidi="ru_RU"/>
        </w:rPr>
        <w:t>Исторический контекст</w:t>
      </w:r>
    </w:p>
    <w:p>
      <w:pPr/>
      <w:r>
        <w:rPr>
          <w:lang w:val="ru_RU" w:bidi="ru_RU"/>
        </w:rPr>
      </w:r>
      <w:r>
        <w:rPr>
          <w:lang w:val="ru_RU" w:bidi="ru_RU"/>
        </w:rP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pPr/>
      <w:r>
        <w:rPr>
          <w:lang w:val="ru_RU" w:bidi="ru_RU"/>
        </w:rPr>
      </w:r>
      <w:r>
        <w:rPr>
          <w:lang w:val="ru_RU" w:bidi="ru_RU"/>
        </w:rP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hyperlink r:id="rId16">
        <w:r>
          <w:rPr>
            <w:lang w:val="ru_RU" w:bidi="ru_RU"/>
          </w:rPr>
          <w:rPr>
            <w:color w:val="0000EE"/>
            <w:u w:val="single"/>
          </w:rPr>
          <w:t>Исх.19–24</w:t>
        </w:r>
      </w:hyperlink>
      <w:r>
        <w:rPr>
          <w:lang w:val="ru_RU" w:bidi="ru_RU"/>
        </w:rP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2"/>
      </w:pPr>
      <w:r>
        <w:rPr>
          <w:lang w:val="ru_RU" w:bidi="ru_RU"/>
        </w:rPr>
        <w:t>Краткое содержание</w:t>
      </w:r>
    </w:p>
    <w:p>
      <w:pPr/>
      <w:r>
        <w:rPr>
          <w:lang w:val="ru_RU" w:bidi="ru_RU"/>
        </w:rPr>
      </w:r>
      <w:r>
        <w:rPr>
          <w:lang w:val="ru_RU" w:bidi="ru_RU"/>
        </w:rP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pPr/>
      <w:r>
        <w:rPr>
          <w:lang w:val="ru_RU" w:bidi="ru_RU"/>
        </w:rPr>
      </w:r>
      <w:r>
        <w:rPr>
          <w:lang w:val="ru_RU" w:bidi="ru_RU"/>
        </w:rP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pPr/>
      <w:r>
        <w:rPr>
          <w:lang w:val="ru_RU" w:bidi="ru_RU"/>
        </w:rPr>
      </w:r>
      <w:r>
        <w:rPr>
          <w:lang w:val="ru_RU" w:bidi="ru_RU"/>
        </w:rPr>
        <w:t>Структура книги, приведённая ниже, отражает восприятие Второзакония как текста завета:</w:t>
      </w:r>
    </w:p>
    <w:p>
      <w:pPr>
        <w:pStyle w:val="ListBullet"/>
        <w:spacing w:line="240" w:lineRule="auto"/>
        <w:ind w:left="720"/>
      </w:pPr>
      <w:r>
        <w:rPr>
          <w:lang w:val="ru_RU" w:bidi="ru_RU"/>
        </w:rPr>
      </w:r>
      <w:hyperlink r:id="rId17">
        <w:r>
          <w:rPr>
            <w:lang w:val="ru_RU" w:bidi="ru_RU"/>
          </w:rPr>
          <w:rPr>
            <w:color w:val="0000EE"/>
            <w:u w:val="single"/>
          </w:rPr>
          <w:t>1:1–5</w:t>
        </w:r>
      </w:hyperlink>
      <w:r>
        <w:rPr>
          <w:lang w:val="ru_RU" w:bidi="ru_RU"/>
        </w:rPr>
        <w:t xml:space="preserve"> Преамбула к завету</w:t>
      </w:r>
    </w:p>
    <w:p>
      <w:pPr>
        <w:pStyle w:val="ListBullet"/>
        <w:spacing w:line="240" w:lineRule="auto"/>
        <w:ind w:left="720"/>
      </w:pPr>
      <w:r>
        <w:rPr>
          <w:lang w:val="ru_RU" w:bidi="ru_RU"/>
        </w:rPr>
      </w:r>
      <w:hyperlink r:id="rId18">
        <w:r>
          <w:rPr>
            <w:lang w:val="ru_RU" w:bidi="ru_RU"/>
          </w:rPr>
          <w:rPr>
            <w:color w:val="0000EE"/>
            <w:u w:val="single"/>
          </w:rPr>
          <w:t>1:6–4:49</w:t>
        </w:r>
      </w:hyperlink>
      <w:r>
        <w:rPr>
          <w:lang w:val="ru_RU" w:bidi="ru_RU"/>
        </w:rPr>
        <w:t xml:space="preserve"> Исторический пролог</w:t>
      </w:r>
    </w:p>
    <w:p>
      <w:pPr>
        <w:pStyle w:val="ListBullet"/>
        <w:spacing w:line="240" w:lineRule="auto"/>
        <w:ind w:left="720"/>
      </w:pPr>
      <w:r>
        <w:rPr>
          <w:lang w:val="ru_RU" w:bidi="ru_RU"/>
        </w:rPr>
      </w:r>
      <w:hyperlink r:id="rId19">
        <w:r>
          <w:rPr>
            <w:lang w:val="ru_RU" w:bidi="ru_RU"/>
          </w:rPr>
          <w:rPr>
            <w:color w:val="0000EE"/>
            <w:u w:val="single"/>
          </w:rPr>
          <w:t>5:1–26:15</w:t>
        </w:r>
      </w:hyperlink>
      <w:r>
        <w:rPr>
          <w:lang w:val="ru_RU" w:bidi="ru_RU"/>
        </w:rPr>
        <w:t xml:space="preserve"> Условия завета</w:t>
      </w:r>
    </w:p>
    <w:p>
      <w:pPr>
        <w:pStyle w:val="ListBullet"/>
        <w:spacing w:line="240" w:lineRule="auto"/>
        <w:ind w:left="720"/>
      </w:pPr>
      <w:r>
        <w:rPr>
          <w:lang w:val="ru_RU" w:bidi="ru_RU"/>
        </w:rPr>
      </w:r>
      <w:hyperlink r:id="rId20">
        <w:r>
          <w:rPr>
            <w:lang w:val="ru_RU" w:bidi="ru_RU"/>
          </w:rPr>
          <w:rPr>
            <w:color w:val="0000EE"/>
            <w:u w:val="single"/>
          </w:rPr>
          <w:t>26:16–29:1</w:t>
        </w:r>
      </w:hyperlink>
      <w:r>
        <w:rPr>
          <w:lang w:val="ru_RU" w:bidi="ru_RU"/>
        </w:rPr>
        <w:t xml:space="preserve"> Благословения за послушание и проклятия за непослушание</w:t>
      </w:r>
    </w:p>
    <w:p>
      <w:pPr>
        <w:pStyle w:val="ListBullet"/>
        <w:spacing w:line="240" w:lineRule="auto"/>
        <w:ind w:left="720"/>
      </w:pPr>
      <w:r>
        <w:rPr>
          <w:lang w:val="ru_RU" w:bidi="ru_RU"/>
        </w:rPr>
      </w:r>
      <w:hyperlink r:id="rId21">
        <w:r>
          <w:rPr>
            <w:lang w:val="ru_RU" w:bidi="ru_RU"/>
          </w:rPr>
          <w:rPr>
            <w:color w:val="0000EE"/>
            <w:u w:val="single"/>
          </w:rPr>
          <w:t>29:2–30:20</w:t>
        </w:r>
      </w:hyperlink>
      <w:r>
        <w:rPr>
          <w:lang w:val="ru_RU" w:bidi="ru_RU"/>
        </w:rPr>
        <w:t xml:space="preserve"> Обзор завета и выбор между жизнью и смертью</w:t>
      </w:r>
    </w:p>
    <w:p>
      <w:pPr>
        <w:pStyle w:val="ListBullet"/>
        <w:spacing w:line="240" w:lineRule="auto"/>
        <w:ind w:left="720"/>
      </w:pPr>
      <w:r>
        <w:rPr>
          <w:lang w:val="ru_RU" w:bidi="ru_RU"/>
        </w:rPr>
      </w:r>
      <w:hyperlink r:id="rId22">
        <w:r>
          <w:rPr>
            <w:lang w:val="ru_RU" w:bidi="ru_RU"/>
          </w:rPr>
          <w:rPr>
            <w:color w:val="0000EE"/>
            <w:u w:val="single"/>
          </w:rPr>
          <w:t>31:1–29</w:t>
        </w:r>
      </w:hyperlink>
      <w:r>
        <w:rPr>
          <w:lang w:val="ru_RU" w:bidi="ru_RU"/>
        </w:rPr>
        <w:t xml:space="preserve"> Передача текста завета на хранение</w:t>
      </w:r>
    </w:p>
    <w:p>
      <w:pPr>
        <w:pStyle w:val="ListBullet"/>
        <w:spacing w:line="240" w:lineRule="auto"/>
        <w:ind w:left="720"/>
      </w:pPr>
      <w:r>
        <w:rPr>
          <w:lang w:val="ru_RU" w:bidi="ru_RU"/>
        </w:rPr>
      </w:r>
      <w:hyperlink r:id="rId23">
        <w:r>
          <w:rPr>
            <w:lang w:val="ru_RU" w:bidi="ru_RU"/>
          </w:rPr>
          <w:rPr>
            <w:color w:val="0000EE"/>
            <w:u w:val="single"/>
          </w:rPr>
          <w:t>31:30–32:43</w:t>
        </w:r>
      </w:hyperlink>
      <w:r>
        <w:rPr>
          <w:lang w:val="ru_RU" w:bidi="ru_RU"/>
        </w:rPr>
        <w:t xml:space="preserve"> Свидетели завета</w:t>
      </w:r>
    </w:p>
    <w:p>
      <w:pPr/>
      <w:r>
        <w:rPr>
          <w:lang w:val="ru_RU" w:bidi="ru_RU"/>
        </w:rPr>
      </w:r>
      <w:r>
        <w:rPr>
          <w:lang w:val="ru_RU" w:bidi="ru_RU"/>
        </w:rP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2"/>
      </w:pPr>
      <w:r>
        <w:rPr>
          <w:lang w:val="ru_RU" w:bidi="ru_RU"/>
        </w:rPr>
        <w:t>Авторство</w:t>
      </w:r>
    </w:p>
    <w:p>
      <w:pPr/>
      <w:r>
        <w:rPr>
          <w:lang w:val="ru_RU" w:bidi="ru_RU"/>
        </w:rPr>
      </w:r>
      <w:r>
        <w:rPr>
          <w:lang w:val="ru_RU" w:bidi="ru_RU"/>
        </w:rP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hyperlink r:id="rId24">
        <w:r>
          <w:rPr>
            <w:lang w:val="ru_RU" w:bidi="ru_RU"/>
          </w:rPr>
          <w:rPr>
            <w:color w:val="0000EE"/>
            <w:u w:val="single"/>
          </w:rPr>
          <w:t>1Цар.2:3</w:t>
        </w:r>
      </w:hyperlink>
      <w:r>
        <w:rPr>
          <w:lang w:val="ru_RU" w:bidi="ru_RU"/>
        </w:rPr>
        <w:t xml:space="preserve">; </w:t>
      </w:r>
      <w:hyperlink r:id="rId25">
        <w:r>
          <w:rPr>
            <w:lang w:val="ru_RU" w:bidi="ru_RU"/>
          </w:rPr>
          <w:rPr>
            <w:color w:val="0000EE"/>
            <w:u w:val="single"/>
          </w:rPr>
          <w:t>2Цар.14:6</w:t>
        </w:r>
      </w:hyperlink>
      <w:r>
        <w:rPr>
          <w:lang w:val="ru_RU" w:bidi="ru_RU"/>
        </w:rPr>
        <w:t xml:space="preserve">; </w:t>
      </w:r>
      <w:hyperlink r:id="rId26">
        <w:r>
          <w:rPr>
            <w:lang w:val="ru_RU" w:bidi="ru_RU"/>
          </w:rPr>
          <w:rPr>
            <w:color w:val="0000EE"/>
            <w:u w:val="single"/>
          </w:rPr>
          <w:t>2Пар.25:4</w:t>
        </w:r>
      </w:hyperlink>
      <w:r>
        <w:rPr>
          <w:lang w:val="ru_RU" w:bidi="ru_RU"/>
        </w:rPr>
        <w:t xml:space="preserve">; </w:t>
      </w:r>
      <w:hyperlink r:id="rId27">
        <w:r>
          <w:rPr>
            <w:lang w:val="ru_RU" w:bidi="ru_RU"/>
          </w:rPr>
          <w:rPr>
            <w:color w:val="0000EE"/>
            <w:u w:val="single"/>
          </w:rPr>
          <w:t>Езд.3:2</w:t>
        </w:r>
      </w:hyperlink>
      <w:r>
        <w:rPr>
          <w:lang w:val="ru_RU" w:bidi="ru_RU"/>
        </w:rPr>
        <w:t xml:space="preserve">; </w:t>
      </w:r>
      <w:hyperlink r:id="rId28">
        <w:r>
          <w:rPr>
            <w:lang w:val="ru_RU" w:bidi="ru_RU"/>
          </w:rPr>
          <w:rPr>
            <w:color w:val="0000EE"/>
            <w:u w:val="single"/>
          </w:rPr>
          <w:t>Мф.19:7</w:t>
        </w:r>
      </w:hyperlink>
      <w:r>
        <w:rPr>
          <w:lang w:val="ru_RU" w:bidi="ru_RU"/>
        </w:rPr>
        <w:t xml:space="preserve">; </w:t>
      </w:r>
      <w:hyperlink r:id="rId29">
        <w:r>
          <w:rPr>
            <w:lang w:val="ru_RU" w:bidi="ru_RU"/>
          </w:rPr>
          <w:rPr>
            <w:color w:val="0000EE"/>
            <w:u w:val="single"/>
          </w:rPr>
          <w:t>Мк.12:19</w:t>
        </w:r>
      </w:hyperlink>
      <w:r>
        <w:rPr>
          <w:lang w:val="ru_RU" w:bidi="ru_RU"/>
        </w:rPr>
        <w:t xml:space="preserve">; </w:t>
      </w:r>
      <w:hyperlink r:id="rId30">
        <w:r>
          <w:rPr>
            <w:lang w:val="ru_RU" w:bidi="ru_RU"/>
          </w:rPr>
          <w:rPr>
            <w:color w:val="0000EE"/>
            <w:u w:val="single"/>
          </w:rPr>
          <w:t>Лк.20:28</w:t>
        </w:r>
      </w:hyperlink>
      <w:r>
        <w:rPr>
          <w:lang w:val="ru_RU" w:bidi="ru_RU"/>
        </w:rPr>
        <w:t xml:space="preserve">; </w:t>
      </w:r>
      <w:hyperlink r:id="rId31">
        <w:r>
          <w:rPr>
            <w:lang w:val="ru_RU" w:bidi="ru_RU"/>
          </w:rPr>
          <w:rPr>
            <w:color w:val="0000EE"/>
            <w:u w:val="single"/>
          </w:rPr>
          <w:t>Деян.3:22–23</w:t>
        </w:r>
      </w:hyperlink>
      <w:r>
        <w:rPr>
          <w:lang w:val="ru_RU" w:bidi="ru_RU"/>
        </w:rPr>
        <w:t xml:space="preserve">; </w:t>
      </w:r>
      <w:hyperlink r:id="rId32">
        <w:r>
          <w:rPr>
            <w:lang w:val="ru_RU" w:bidi="ru_RU"/>
          </w:rPr>
          <w:rPr>
            <w:color w:val="0000EE"/>
            <w:u w:val="single"/>
          </w:rPr>
          <w:t>Рим.10:19</w:t>
        </w:r>
      </w:hyperlink>
      <w:r>
        <w:rPr>
          <w:lang w:val="ru_RU" w:bidi="ru_RU"/>
        </w:rPr>
        <w:t xml:space="preserve">; </w:t>
      </w:r>
      <w:hyperlink r:id="rId33">
        <w:r>
          <w:rPr>
            <w:lang w:val="ru_RU" w:bidi="ru_RU"/>
          </w:rPr>
          <w:rPr>
            <w:color w:val="0000EE"/>
            <w:u w:val="single"/>
          </w:rPr>
          <w:t>1Кор.9:9</w:t>
        </w:r>
      </w:hyperlink>
      <w:r>
        <w:rPr>
          <w:lang w:val="ru_RU" w:bidi="ru_RU"/>
        </w:rPr>
        <w:t>).</w:t>
      </w:r>
    </w:p>
    <w:p>
      <w:pPr/>
      <w:r>
        <w:rPr>
          <w:lang w:val="ru_RU" w:bidi="ru_RU"/>
        </w:rPr>
      </w:r>
      <w:r>
        <w:rPr>
          <w:lang w:val="ru_RU" w:bidi="ru_RU"/>
        </w:rP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hyperlink r:id="rId34">
        <w:r>
          <w:rPr>
            <w:lang w:val="ru_RU" w:bidi="ru_RU"/>
          </w:rPr>
          <w:rPr>
            <w:color w:val="0000EE"/>
            <w:u w:val="single"/>
          </w:rPr>
          <w:t>4Цар.22:8–20</w:t>
        </w:r>
      </w:hyperlink>
      <w:r>
        <w:rPr>
          <w:lang w:val="ru_RU" w:bidi="ru_RU"/>
        </w:rP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pPr/>
      <w:r>
        <w:rPr>
          <w:lang w:val="ru_RU" w:bidi="ru_RU"/>
        </w:rPr>
      </w:r>
      <w:r>
        <w:rPr>
          <w:lang w:val="ru_RU" w:bidi="ru_RU"/>
        </w:rP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pPr/>
      <w:r>
        <w:rPr>
          <w:lang w:val="ru_RU" w:bidi="ru_RU"/>
        </w:rPr>
      </w:r>
      <w:r>
        <w:rPr>
          <w:lang w:val="ru_RU" w:bidi="ru_RU"/>
        </w:rP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hyperlink r:id="rId35">
        <w:r>
          <w:rPr>
            <w:lang w:val="ru_RU" w:bidi="ru_RU"/>
          </w:rPr>
          <w:rPr>
            <w:color w:val="0000EE"/>
            <w:u w:val="single"/>
          </w:rPr>
          <w:t>34:5–12</w:t>
        </w:r>
      </w:hyperlink>
      <w:r>
        <w:rPr>
          <w:lang w:val="ru_RU" w:bidi="ru_RU"/>
        </w:rPr>
        <w:t xml:space="preserve">). См. далее </w:t>
      </w:r>
      <w:r>
        <w:rPr>
          <w:lang w:val="ru_RU" w:bidi="ru_RU"/>
        </w:rPr>
        <w:t>Введение в Книгу Бытие,</w:t>
      </w:r>
      <w:r>
        <w:rPr>
          <w:lang w:val="ru_RU" w:bidi="ru_RU"/>
        </w:rPr>
        <w:t xml:space="preserve"> «Авторство».</w:t>
      </w:r>
    </w:p>
    <w:p>
      <w:pPr>
        <w:pStyle w:val="Heading2"/>
      </w:pPr>
      <w:r>
        <w:rPr>
          <w:lang w:val="ru_RU" w:bidi="ru_RU"/>
        </w:rPr>
        <w:t>Литературная форма</w:t>
      </w:r>
    </w:p>
    <w:p>
      <w:pPr/>
      <w:r>
        <w:rPr>
          <w:lang w:val="ru_RU" w:bidi="ru_RU"/>
        </w:rPr>
      </w:r>
      <w:r>
        <w:rPr>
          <w:lang w:val="ru_RU" w:bidi="ru_RU"/>
        </w:rP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pPr/>
      <w:r>
        <w:rPr>
          <w:lang w:val="ru_RU" w:bidi="ru_RU"/>
        </w:rPr>
      </w:r>
      <w:r>
        <w:rPr>
          <w:lang w:val="ru_RU" w:bidi="ru_RU"/>
        </w:rP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pPr/>
      <w:r>
        <w:rPr>
          <w:lang w:val="ru_RU" w:bidi="ru_RU"/>
        </w:rPr>
      </w:r>
      <w:r>
        <w:rPr>
          <w:lang w:val="ru_RU" w:bidi="ru_RU"/>
        </w:rP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hyperlink r:id="rId36">
        <w:r>
          <w:rPr>
            <w:lang w:val="ru_RU" w:bidi="ru_RU"/>
          </w:rPr>
          <w:rPr>
            <w:color w:val="0000EE"/>
            <w:u w:val="single"/>
          </w:rPr>
          <w:t>Исх.4:22–23</w:t>
        </w:r>
      </w:hyperlink>
      <w:r>
        <w:rPr>
          <w:lang w:val="ru_RU" w:bidi="ru_RU"/>
        </w:rP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2"/>
      </w:pPr>
      <w:r>
        <w:rPr>
          <w:lang w:val="ru_RU" w:bidi="ru_RU"/>
        </w:rPr>
        <w:t>Значение и смысл</w:t>
      </w:r>
    </w:p>
    <w:p>
      <w:pPr/>
      <w:r>
        <w:rPr>
          <w:lang w:val="ru_RU" w:bidi="ru_RU"/>
        </w:rPr>
      </w:r>
      <w:r>
        <w:rPr>
          <w:lang w:val="ru_RU" w:bidi="ru_RU"/>
        </w:rP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pPr/>
      <w:r>
        <w:rPr>
          <w:lang w:val="ru_RU" w:bidi="ru_RU"/>
        </w:rPr>
      </w:r>
      <w:r>
        <w:rPr>
          <w:lang w:val="ru_RU" w:bidi="ru_RU"/>
        </w:rPr>
        <w:t>Израиль имел выбор принять или отвергнуть Божий завет (</w:t>
      </w:r>
      <w:hyperlink r:id="rId37">
        <w:r>
          <w:rPr>
            <w:lang w:val="ru_RU" w:bidi="ru_RU"/>
          </w:rPr>
          <w:rPr>
            <w:color w:val="0000EE"/>
            <w:u w:val="single"/>
          </w:rPr>
          <w:t>Исх.19:7–8</w:t>
        </w:r>
      </w:hyperlink>
      <w:r>
        <w:rPr>
          <w:lang w:val="ru_RU" w:bidi="ru_RU"/>
        </w:rP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hyperlink r:id="rId38">
        <w:r>
          <w:rPr>
            <w:lang w:val="ru_RU" w:bidi="ru_RU"/>
          </w:rPr>
          <w:rPr>
            <w:color w:val="0000EE"/>
            <w:u w:val="single"/>
          </w:rPr>
          <w:t>28:1–6</w:t>
        </w:r>
      </w:hyperlink>
      <w:r>
        <w:rPr>
          <w:lang w:val="ru_RU" w:bidi="ru_RU"/>
        </w:rPr>
        <w:t xml:space="preserve">, </w:t>
      </w:r>
      <w:hyperlink r:id="rId39">
        <w:r>
          <w:rPr>
            <w:lang w:val="ru_RU" w:bidi="ru_RU"/>
          </w:rPr>
          <w:rPr>
            <w:color w:val="0000EE"/>
            <w:u w:val="single"/>
          </w:rPr>
          <w:t>15–19</w:t>
        </w:r>
      </w:hyperlink>
      <w:r>
        <w:rPr>
          <w:lang w:val="ru_RU" w:bidi="ru_RU"/>
        </w:rPr>
        <w:t>). Но даже непослушание можно было преодолеть, если народ покается, вернётся и будет восстановлен в общении по завету (</w:t>
      </w:r>
      <w:hyperlink r:id="rId40">
        <w:r>
          <w:rPr>
            <w:lang w:val="ru_RU" w:bidi="ru_RU"/>
          </w:rPr>
          <w:rPr>
            <w:color w:val="0000EE"/>
            <w:u w:val="single"/>
          </w:rPr>
          <w:t>30:1–10</w:t>
        </w:r>
      </w:hyperlink>
      <w:r>
        <w:rPr>
          <w:lang w:val="ru_RU" w:bidi="ru_RU"/>
        </w:rPr>
        <w:t xml:space="preserve">; см. также </w:t>
      </w:r>
      <w:hyperlink r:id="rId41">
        <w:r>
          <w:rPr>
            <w:lang w:val="ru_RU" w:bidi="ru_RU"/>
          </w:rPr>
          <w:rPr>
            <w:color w:val="0000EE"/>
            <w:u w:val="single"/>
          </w:rPr>
          <w:t>Лев.26:40–45</w:t>
        </w:r>
      </w:hyperlink>
      <w:r>
        <w:rPr>
          <w:lang w:val="ru_RU" w:bidi="ru_RU"/>
        </w:rPr>
        <w:t>).</w:t>
      </w:r>
    </w:p>
    <w:p>
      <w:pPr/>
      <w:r>
        <w:rPr>
          <w:lang w:val="ru_RU" w:bidi="ru_RU"/>
        </w:rPr>
      </w:r>
      <w:r>
        <w:rPr>
          <w:lang w:val="ru_RU" w:bidi="ru_RU"/>
        </w:rPr>
        <w:t>Не завет сделал Израиль Божьим народом; это сделало Божье обещание Аврааму о народе, который произойдёт от него (</w:t>
      </w:r>
      <w:hyperlink r:id="rId42">
        <w:r>
          <w:rPr>
            <w:lang w:val="ru_RU" w:bidi="ru_RU"/>
          </w:rPr>
          <w:rPr>
            <w:color w:val="0000EE"/>
            <w:u w:val="single"/>
          </w:rPr>
          <w:t>Быт.17:1–8</w:t>
        </w:r>
      </w:hyperlink>
      <w:r>
        <w:rPr>
          <w:lang w:val="ru_RU" w:bidi="ru_RU"/>
        </w:rPr>
        <w:t>). Завет, заключённый на Синае, дал Израилю привилегию служить Господу как царство священников (</w:t>
      </w:r>
      <w:hyperlink r:id="rId43">
        <w:r>
          <w:rPr>
            <w:lang w:val="ru_RU" w:bidi="ru_RU"/>
          </w:rPr>
          <w:rPr>
            <w:color w:val="0000EE"/>
            <w:u w:val="single"/>
          </w:rPr>
          <w:t>Исх.19:4–6</w:t>
        </w:r>
      </w:hyperlink>
      <w:r>
        <w:rPr>
          <w:lang w:val="ru_RU" w:bidi="ru_RU"/>
        </w:rP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pPr/>
      <w:r>
        <w:rPr>
          <w:lang w:val="ru_RU" w:bidi="ru_RU"/>
        </w:rPr>
      </w:r>
      <w:r>
        <w:rPr>
          <w:lang w:val="ru_RU" w:bidi="ru_RU"/>
        </w:rP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