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i/>
          <w:lang w:val="es_ES" w:bidi="es_ES"/>
        </w:rPr>
        <w:t>1 Corintios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2"/>
      </w:pPr>
      <w:r>
        <w:rPr>
          <w:lang w:val="es_ES" w:bidi="es_ES"/>
        </w:rPr>
        <w:t>Ambientación</w:t>
      </w:r>
    </w:p>
    <w:p>
      <w:pPr/>
      <w:r>
        <w:rPr>
          <w:lang w:val="es_ES" w:bidi="es_ES"/>
        </w:rPr>
      </w:r>
      <w:r>
        <w:rPr>
          <w:lang w:val="es_ES" w:bidi="es_ES"/>
        </w:rP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lang w:val="es_ES" w:bidi="es_ES"/>
        </w:rPr>
        <w:t>korinthiazomai</w:t>
      </w:r>
      <w:r>
        <w:rPr>
          <w:lang w:val="es_ES" w:bidi="es_ES"/>
        </w:rPr>
        <w:t xml:space="preserve">, “actuar como un corintio”) que se refería a la inmoralidad sexual. No es sorprendente que algunos de estos problemas se infiltraran en la joven iglesia (ver las fuertes palabras de Pablo sobre la inmoralidad sexual en </w:t>
      </w:r>
      <w:hyperlink r:id="rId15">
        <w:r>
          <w:rPr>
            <w:lang w:val="es_ES" w:bidi="es_ES"/>
          </w:rPr>
          <w:rPr>
            <w:color w:val="0000EE"/>
            <w:u w:val="single"/>
          </w:rPr>
          <w:t>5:1–13,</w:t>
        </w:r>
      </w:hyperlink>
      <w:r>
        <w:rPr>
          <w:lang w:val="es_ES" w:bidi="es_ES"/>
        </w:rPr>
        <w:t xml:space="preserve"> </w:t>
      </w:r>
      <w:hyperlink r:id="rId16">
        <w:r>
          <w:rPr>
            <w:lang w:val="es_ES" w:bidi="es_ES"/>
          </w:rPr>
          <w:rPr>
            <w:color w:val="0000EE"/>
            <w:u w:val="single"/>
          </w:rPr>
          <w:t>6:12–20</w:t>
        </w:r>
      </w:hyperlink>
      <w:r>
        <w:rPr>
          <w:lang w:val="es_ES" w:bidi="es_ES"/>
        </w:rPr>
        <w:t>).</w:t>
      </w:r>
    </w:p>
    <w:p>
      <w:pPr/>
      <w:r>
        <w:rPr>
          <w:lang w:val="es_ES" w:bidi="es_ES"/>
        </w:rPr>
      </w:r>
      <w:r>
        <w:rPr>
          <w:lang w:val="es_ES" w:bidi="es_ES"/>
        </w:rP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hyperlink r:id="rId17">
        <w:r>
          <w:rPr>
            <w:lang w:val="es_ES" w:bidi="es_ES"/>
          </w:rPr>
          <w:rPr>
            <w:color w:val="0000EE"/>
            <w:u w:val="single"/>
          </w:rPr>
          <w:t>1:10–12,</w:t>
        </w:r>
      </w:hyperlink>
      <w:r>
        <w:rPr>
          <w:lang w:val="es_ES" w:bidi="es_ES"/>
        </w:rPr>
        <w:t xml:space="preserve"> </w:t>
      </w:r>
      <w:hyperlink r:id="rId18">
        <w:r>
          <w:rPr>
            <w:lang w:val="es_ES" w:bidi="es_ES"/>
          </w:rPr>
          <w:rPr>
            <w:color w:val="0000EE"/>
            <w:u w:val="single"/>
          </w:rPr>
          <w:t>3:1–4</w:t>
        </w:r>
      </w:hyperlink>
      <w:r>
        <w:rPr>
          <w:lang w:val="es_ES" w:bidi="es_ES"/>
        </w:rPr>
        <w:t>).</w:t>
      </w:r>
    </w:p>
    <w:p>
      <w:pPr/>
      <w:r>
        <w:rPr>
          <w:lang w:val="es_ES" w:bidi="es_ES"/>
        </w:rPr>
      </w:r>
      <w:r>
        <w:rPr>
          <w:lang w:val="es_ES" w:bidi="es_ES"/>
        </w:rP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hyperlink r:id="rId19">
        <w:r>
          <w:rPr>
            <w:lang w:val="es_ES" w:bidi="es_ES"/>
          </w:rPr>
          <w:rPr>
            <w:color w:val="0000EE"/>
            <w:u w:val="single"/>
          </w:rPr>
          <w:t>Hechos 18:1–17</w:t>
        </w:r>
      </w:hyperlink>
      <w:r>
        <w:rPr>
          <w:lang w:val="es_ES" w:bidi="es_ES"/>
        </w:rPr>
        <w:t>). Cuando los judíos lo llevaron a juicio por violar la ley, el gobernador Galión desestimó el caso al considerarlo una disputa religiosa. Con la libertad para evangelizar, Pablo logró varios conversos y fundó una iglesia allí antes de partir.</w:t>
      </w:r>
    </w:p>
    <w:p>
      <w:pPr/>
      <w:r>
        <w:rPr>
          <w:lang w:val="es_ES" w:bidi="es_ES"/>
        </w:rPr>
      </w:r>
      <w:r>
        <w:rPr>
          <w:lang w:val="es_ES" w:bidi="es_ES"/>
        </w:rP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2"/>
      </w:pPr>
      <w:r>
        <w:rPr>
          <w:lang w:val="es_ES" w:bidi="es_ES"/>
        </w:rPr>
        <w:t>Resumen</w:t>
      </w:r>
    </w:p>
    <w:p>
      <w:pPr/>
      <w:r>
        <w:rPr>
          <w:lang w:val="es_ES" w:bidi="es_ES"/>
        </w:rPr>
      </w:r>
      <w:r>
        <w:rPr>
          <w:lang w:val="es_ES" w:bidi="es_ES"/>
        </w:rP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Pr>
          <w:lang w:val="es_ES" w:bidi="es_ES"/>
        </w:rPr>
      </w:r>
      <w:r>
        <w:rPr>
          <w:lang w:val="es_ES" w:bidi="es_ES"/>
        </w:rPr>
        <w:t>Crítica al enfoque no intelectual de Pablo hacia el evangelismo (</w:t>
      </w:r>
      <w:hyperlink r:id="rId20">
        <w:r>
          <w:rPr>
            <w:lang w:val="es_ES" w:bidi="es_ES"/>
          </w:rPr>
          <w:rPr>
            <w:color w:val="0000EE"/>
            <w:u w:val="single"/>
          </w:rPr>
          <w:t>1:1–4:21</w:t>
        </w:r>
      </w:hyperlink>
      <w:r>
        <w:rPr>
          <w:lang w:val="es_ES" w:bidi="es_ES"/>
        </w:rPr>
        <w:t>).</w:t>
      </w:r>
    </w:p>
    <w:p>
      <w:pPr>
        <w:pStyle w:val="ListBullet"/>
        <w:spacing w:line="240" w:lineRule="auto"/>
        <w:ind w:left="720"/>
      </w:pPr>
      <w:r>
        <w:rPr>
          <w:lang w:val="es_ES" w:bidi="es_ES"/>
        </w:rPr>
      </w:r>
      <w:r>
        <w:rPr>
          <w:lang w:val="es_ES" w:bidi="es_ES"/>
        </w:rPr>
        <w:t>Un caso evidente de inmoralidad sexual en la iglesia (</w:t>
      </w:r>
      <w:hyperlink r:id="rId15">
        <w:r>
          <w:rPr>
            <w:lang w:val="es_ES" w:bidi="es_ES"/>
          </w:rPr>
          <w:rPr>
            <w:color w:val="0000EE"/>
            <w:u w:val="single"/>
          </w:rPr>
          <w:t>5:1–13</w:t>
        </w:r>
      </w:hyperlink>
      <w:r>
        <w:rPr>
          <w:lang w:val="es_ES" w:bidi="es_ES"/>
        </w:rPr>
        <w:t>).</w:t>
      </w:r>
    </w:p>
    <w:p>
      <w:pPr>
        <w:pStyle w:val="ListBullet"/>
        <w:spacing w:line="240" w:lineRule="auto"/>
        <w:ind w:left="720"/>
      </w:pPr>
      <w:r>
        <w:rPr>
          <w:lang w:val="es_ES" w:bidi="es_ES"/>
        </w:rPr>
      </w:r>
      <w:r>
        <w:rPr>
          <w:lang w:val="es_ES" w:bidi="es_ES"/>
        </w:rPr>
        <w:t>La práctica de llevar a otros creyentes ante jueces no cristianos (</w:t>
      </w:r>
      <w:hyperlink r:id="rId21">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Problemas de inmoralidad sexual (</w:t>
      </w:r>
      <w:hyperlink r:id="rId21">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Preguntas sobre el matrimonio, el divorcio y la soltería (</w:t>
      </w:r>
      <w:hyperlink r:id="rId22">
        <w:r>
          <w:rPr>
            <w:lang w:val="es_ES" w:bidi="es_ES"/>
          </w:rPr>
          <w:rPr>
            <w:color w:val="0000EE"/>
            <w:u w:val="single"/>
          </w:rPr>
          <w:t>7:1–40</w:t>
        </w:r>
      </w:hyperlink>
      <w:r>
        <w:rPr>
          <w:lang w:val="es_ES" w:bidi="es_ES"/>
        </w:rPr>
        <w:t>).</w:t>
      </w:r>
    </w:p>
    <w:p>
      <w:pPr>
        <w:pStyle w:val="ListBullet"/>
        <w:spacing w:line="240" w:lineRule="auto"/>
        <w:ind w:left="720"/>
      </w:pPr>
      <w:r>
        <w:rPr>
          <w:lang w:val="es_ES" w:bidi="es_ES"/>
        </w:rPr>
      </w:r>
      <w:r>
        <w:rPr>
          <w:lang w:val="es_ES" w:bidi="es_ES"/>
        </w:rPr>
        <w:t>La cuestión de si los creyentes pueden comer carne sacrificada a ídolos paganos (</w:t>
      </w:r>
      <w:hyperlink r:id="rId23">
        <w:r>
          <w:rPr>
            <w:lang w:val="es_ES" w:bidi="es_ES"/>
          </w:rPr>
          <w:rPr>
            <w:color w:val="0000EE"/>
            <w:u w:val="single"/>
          </w:rPr>
          <w:t>8:1–10:33</w:t>
        </w:r>
      </w:hyperlink>
      <w:r>
        <w:rPr>
          <w:lang w:val="es_ES" w:bidi="es_ES"/>
        </w:rPr>
        <w:t>).</w:t>
      </w:r>
    </w:p>
    <w:p>
      <w:pPr>
        <w:pStyle w:val="ListBullet"/>
        <w:spacing w:line="240" w:lineRule="auto"/>
        <w:ind w:left="720"/>
      </w:pPr>
      <w:r>
        <w:rPr>
          <w:lang w:val="es_ES" w:bidi="es_ES"/>
        </w:rPr>
      </w:r>
      <w:r>
        <w:rPr>
          <w:lang w:val="es_ES" w:bidi="es_ES"/>
        </w:rPr>
        <w:t>La cuestión de la vestimenta apropiada para las mujeres que ministran públicamente (</w:t>
      </w:r>
      <w:hyperlink r:id="rId24">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Comportamiento irreverente e irrespetuoso al participar en la Cena del Señor (</w:t>
      </w:r>
      <w:hyperlink r:id="rId24">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Perspectivas erróneas sobre los dones espirituales y su práctica (</w:t>
      </w:r>
      <w:hyperlink r:id="rId25">
        <w:r>
          <w:rPr>
            <w:lang w:val="es_ES" w:bidi="es_ES"/>
          </w:rPr>
          <w:rPr>
            <w:color w:val="0000EE"/>
            <w:u w:val="single"/>
          </w:rPr>
          <w:t>12:1–14:40</w:t>
        </w:r>
      </w:hyperlink>
      <w:r>
        <w:rPr>
          <w:lang w:val="es_ES" w:bidi="es_ES"/>
        </w:rPr>
        <w:t>).</w:t>
      </w:r>
    </w:p>
    <w:p>
      <w:pPr>
        <w:pStyle w:val="ListBullet"/>
        <w:spacing w:line="240" w:lineRule="auto"/>
        <w:ind w:left="720"/>
      </w:pPr>
      <w:r>
        <w:rPr>
          <w:lang w:val="es_ES" w:bidi="es_ES"/>
        </w:rPr>
      </w:r>
      <w:r>
        <w:rPr>
          <w:lang w:val="es_ES" w:bidi="es_ES"/>
        </w:rPr>
        <w:t>Escepticismo sobre una futura resurrección de los muertos (</w:t>
      </w:r>
      <w:hyperlink r:id="rId26">
        <w:r>
          <w:rPr>
            <w:lang w:val="es_ES" w:bidi="es_ES"/>
          </w:rPr>
          <w:rPr>
            <w:color w:val="0000EE"/>
            <w:u w:val="single"/>
          </w:rPr>
          <w:t>15:1–58</w:t>
        </w:r>
      </w:hyperlink>
      <w:r>
        <w:rPr>
          <w:lang w:val="es_ES" w:bidi="es_ES"/>
        </w:rPr>
        <w:t>).</w:t>
      </w:r>
    </w:p>
    <w:p>
      <w:pPr>
        <w:pStyle w:val="Heading2"/>
      </w:pPr>
      <w:r>
        <w:rPr>
          <w:lang w:val="es_ES" w:bidi="es_ES"/>
        </w:rPr>
        <w:t>Autoría</w:t>
      </w:r>
    </w:p>
    <w:p>
      <w:pPr/>
      <w:r>
        <w:rPr>
          <w:lang w:val="es_ES" w:bidi="es_ES"/>
        </w:rPr>
      </w:r>
      <w:r>
        <w:rPr>
          <w:lang w:val="es_ES" w:bidi="es_ES"/>
        </w:rPr>
        <w:t xml:space="preserve">Pablo es ampliamente reconocido como el autor de 1 Corintios. Sin embargo, algunos cuestionan la autenticidad de </w:t>
      </w:r>
      <w:hyperlink r:id="rId27">
        <w:r>
          <w:rPr>
            <w:lang w:val="es_ES" w:bidi="es_ES"/>
          </w:rPr>
          <w:rPr>
            <w:color w:val="0000EE"/>
            <w:u w:val="single"/>
          </w:rPr>
          <w:t>14:34–35</w:t>
        </w:r>
      </w:hyperlink>
      <w:r>
        <w:rPr>
          <w:lang w:val="es_ES" w:bidi="es_ES"/>
        </w:rPr>
        <w:t xml:space="preserve"> (ver nota de estudio allí). Siguiendo la práctica común en el mundo antiguo, Pablo empleó un amanuense (secretario) para realizar la escritura de la carta (ver </w:t>
      </w:r>
      <w:hyperlink r:id="rId28">
        <w:r>
          <w:rPr>
            <w:lang w:val="es_ES" w:bidi="es_ES"/>
          </w:rPr>
          <w:rPr>
            <w:color w:val="0000EE"/>
            <w:u w:val="single"/>
          </w:rPr>
          <w:t>16:21</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Esta carta a la iglesia de Corinto fue escrita durante el tercer viaje misionero de Pablo, mientras permanecía de dos a tres años en Éfeso (alrededor del año 53–56 d. C.; ver </w:t>
      </w:r>
      <w:hyperlink r:id="rId29">
        <w:r>
          <w:rPr>
            <w:lang w:val="es_ES" w:bidi="es_ES"/>
          </w:rPr>
          <w:rPr>
            <w:color w:val="0000EE"/>
            <w:u w:val="single"/>
          </w:rPr>
          <w:t>Hechos 19:1–41</w:t>
        </w:r>
      </w:hyperlink>
      <w:r>
        <w:rPr>
          <w:lang w:val="es_ES" w:bidi="es_ES"/>
        </w:rPr>
        <w:t xml:space="preserve">). Pablo había escrito una carta anterior a la iglesia en Corinto (ver </w:t>
      </w:r>
      <w:hyperlink r:id="rId30">
        <w:r>
          <w:rPr>
            <w:lang w:val="es_ES" w:bidi="es_ES"/>
          </w:rPr>
          <w:rPr>
            <w:color w:val="0000EE"/>
            <w:u w:val="single"/>
          </w:rPr>
          <w:t>1 Co 5:9</w:t>
        </w:r>
      </w:hyperlink>
      <w:r>
        <w:rPr>
          <w:lang w:val="es_ES" w:bidi="es_ES"/>
        </w:rPr>
        <w:t xml:space="preserve">), y los corintios respondieron, solicitando su consejo sobre varios temas (ver, por ejemplo, </w:t>
      </w:r>
      <w:hyperlink r:id="rId31">
        <w:r>
          <w:rPr>
            <w:lang w:val="es_ES" w:bidi="es_ES"/>
          </w:rPr>
          <w:rPr>
            <w:color w:val="0000EE"/>
            <w:u w:val="single"/>
          </w:rPr>
          <w:t>7:1</w:t>
        </w:r>
      </w:hyperlink>
      <w:r>
        <w:rPr>
          <w:lang w:val="es_ES" w:bidi="es_ES"/>
        </w:rPr>
        <w:t xml:space="preserve">). También había recibido informes y visitantes de Corinto (ver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16:15–17</w:t>
        </w:r>
      </w:hyperlink>
      <w:r>
        <w:rPr>
          <w:lang w:val="es_ES" w:bidi="es_ES"/>
        </w:rPr>
        <w:t xml:space="preserve">), lo que le hizo consciente de varios problemas que enfrentaba la joven iglesia. Esta carta, llena de consejos sobre temas específicos, es su respuesta. Es posible que haya sido entregada por Estéfanas, Fortunato y Acaico (ver </w:t>
      </w:r>
      <w:hyperlink r:id="rId33">
        <w:r>
          <w:rPr>
            <w:lang w:val="es_ES" w:bidi="es_ES"/>
          </w:rPr>
          <w:rPr>
            <w:color w:val="0000EE"/>
            <w:u w:val="single"/>
          </w:rPr>
          <w:t>16:15–17</w:t>
        </w:r>
      </w:hyperlink>
      <w:r>
        <w:rPr>
          <w:lang w:val="es_ES" w:bidi="es_ES"/>
        </w:rPr>
        <w:t>) cuando regresaron a Corinto.</w:t>
      </w:r>
    </w:p>
    <w:p>
      <w:pPr/>
      <w:r>
        <w:rPr>
          <w:lang w:val="es_ES" w:bidi="es_ES"/>
        </w:rPr>
      </w:r>
      <w:r>
        <w:rPr>
          <w:lang w:val="es_ES" w:bidi="es_ES"/>
        </w:rP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hyperlink r:id="rId34">
        <w:r>
          <w:rPr>
            <w:lang w:val="es_ES" w:bidi="es_ES"/>
          </w:rPr>
          <w:rPr>
            <w:color w:val="0000EE"/>
            <w:u w:val="single"/>
          </w:rPr>
          <w:t>2 Co 2:1–11,</w:t>
        </w:r>
      </w:hyperlink>
      <w:r>
        <w:rPr>
          <w:lang w:val="es_ES" w:bidi="es_ES"/>
        </w:rPr>
        <w:t xml:space="preserve"> </w:t>
      </w:r>
      <w:hyperlink r:id="rId35">
        <w:r>
          <w:rPr>
            <w:lang w:val="es_ES" w:bidi="es_ES"/>
          </w:rPr>
          <w:rPr>
            <w:color w:val="0000EE"/>
            <w:u w:val="single"/>
          </w:rPr>
          <w:t>7:8–10,</w:t>
        </w:r>
      </w:hyperlink>
      <w:r>
        <w:rPr>
          <w:lang w:val="es_ES" w:bidi="es_ES"/>
        </w:rPr>
        <w:t xml:space="preserve"> </w:t>
      </w:r>
      <w:r>
        <w:rPr>
          <w:lang w:val="es_ES" w:bidi="es_ES"/>
        </w:rPr>
        <w:t>Introducción al Libro de 2 Corintios, “Fecha y Ocasión en que fue Escrita”</w:t>
      </w:r>
      <w:r>
        <w:rPr>
          <w:lang w:val="es_ES" w:bidi="es_ES"/>
        </w:rPr>
        <w:t>).</w:t>
      </w:r>
    </w:p>
    <w:p>
      <w:pPr>
        <w:pStyle w:val="Heading2"/>
      </w:pPr>
      <w:r>
        <w:rPr>
          <w:lang w:val="es_ES" w:bidi="es_ES"/>
        </w:rPr>
        <w:t>Significado y Mensaje</w:t>
      </w:r>
    </w:p>
    <w:p>
      <w:pPr/>
      <w:r>
        <w:rPr>
          <w:lang w:val="es_ES" w:bidi="es_ES"/>
        </w:rPr>
      </w:r>
      <w:r>
        <w:rPr>
          <w:lang w:val="es_ES" w:bidi="es_ES"/>
        </w:rPr>
        <w:t>En 1 Corintios, obtenemos una visión fascinante de cómo era la vida en la iglesia primitiva. Observamos algunos de los problemas prácticos que enfrentaron los primeros cristianos al vivir en un entorno pagano y cómo los resolvieron.</w:t>
      </w:r>
    </w:p>
    <w:p>
      <w:pPr/>
      <w:r>
        <w:rPr>
          <w:lang w:val="es_ES" w:bidi="es_ES"/>
        </w:rPr>
      </w:r>
      <w:r>
        <w:rPr>
          <w:lang w:val="es_ES" w:bidi="es_ES"/>
        </w:rP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pPr/>
      <w:r>
        <w:rPr>
          <w:lang w:val="es_ES" w:bidi="es_ES"/>
        </w:rPr>
      </w:r>
      <w:r>
        <w:rPr>
          <w:lang w:val="es_ES" w:bidi="es_ES"/>
        </w:rPr>
        <w:t>Por ejemplo, cuando Pablo aborda cuestiones de moralidad sexual (</w:t>
      </w:r>
      <w:hyperlink r:id="rId36">
        <w:r>
          <w:rPr>
            <w:lang w:val="es_ES" w:bidi="es_ES"/>
          </w:rPr>
          <w:rPr>
            <w:color w:val="0000EE"/>
            <w:u w:val="single"/>
          </w:rPr>
          <w:t>5:1–6:20</w:t>
        </w:r>
      </w:hyperlink>
      <w:r>
        <w:rPr>
          <w:lang w:val="es_ES" w:bidi="es_ES"/>
        </w:rP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hyperlink r:id="rId37">
        <w:r>
          <w:rPr>
            <w:lang w:val="es_ES" w:bidi="es_ES"/>
          </w:rPr>
          <w:rPr>
            <w:color w:val="0000EE"/>
            <w:u w:val="single"/>
          </w:rPr>
          <w:t>6:15–20</w:t>
        </w:r>
      </w:hyperlink>
      <w:r>
        <w:rPr>
          <w:lang w:val="es_ES" w:bidi="es_ES"/>
        </w:rPr>
        <w:t>).</w:t>
      </w:r>
    </w:p>
    <w:p>
      <w:pPr/>
      <w:r>
        <w:rPr>
          <w:lang w:val="es_ES" w:bidi="es_ES"/>
        </w:rPr>
      </w:r>
      <w:r>
        <w:rPr>
          <w:lang w:val="es_ES" w:bidi="es_ES"/>
        </w:rPr>
        <w:t>Cuando Pablo desaconseja a los creyentes de llevarse unos a otros a los tribunales paganos (</w:t>
      </w:r>
      <w:hyperlink r:id="rId38">
        <w:r>
          <w:rPr>
            <w:lang w:val="es_ES" w:bidi="es_ES"/>
          </w:rPr>
          <w:rPr>
            <w:color w:val="0000EE"/>
            <w:u w:val="single"/>
          </w:rPr>
          <w:t>6:1–8</w:t>
        </w:r>
      </w:hyperlink>
      <w:r>
        <w:rPr>
          <w:lang w:val="es_ES" w:bidi="es_ES"/>
        </w:rPr>
        <w:t>), le preocupa en parte el impacto en su testimonio como cristianos. Les insta a renunciar a sus derechos por amor a los demás, tal como lo hizo Cristo. La muerte de Cristo les ha enseñado que el amor cristiano es sacrificial.</w:t>
      </w:r>
    </w:p>
    <w:p>
      <w:pPr/>
      <w:r>
        <w:rPr>
          <w:lang w:val="es_ES" w:bidi="es_ES"/>
        </w:rPr>
      </w:r>
      <w:r>
        <w:rPr>
          <w:lang w:val="es_ES" w:bidi="es_ES"/>
        </w:rPr>
        <w:t>Cuando Pablo ofrece consejos sobre el matrimonio (</w:t>
      </w:r>
      <w:hyperlink r:id="rId22">
        <w:r>
          <w:rPr>
            <w:lang w:val="es_ES" w:bidi="es_ES"/>
          </w:rPr>
          <w:rPr>
            <w:color w:val="0000EE"/>
            <w:u w:val="single"/>
          </w:rPr>
          <w:t>7:1–40</w:t>
        </w:r>
      </w:hyperlink>
      <w:r>
        <w:rPr>
          <w:lang w:val="es_ES" w:bidi="es_ES"/>
        </w:rPr>
        <w:t>), anima a quienes están solteros en ese contexto a permanecer así para poder dedicarse más plenamente al servicio de Cristo. Los cristianos son reclamados por Cristo y ya no pueden vivir solo para sí mismos.</w:t>
      </w:r>
    </w:p>
    <w:p>
      <w:pPr/>
      <w:r>
        <w:rPr>
          <w:lang w:val="es_ES" w:bidi="es_ES"/>
        </w:rPr>
      </w:r>
      <w:r>
        <w:rPr>
          <w:lang w:val="es_ES" w:bidi="es_ES"/>
        </w:rPr>
        <w:t>Al abordar la libertad de los creyentes para comer carne sacrificada a ídolos paganos (</w:t>
      </w:r>
      <w:hyperlink r:id="rId39">
        <w:r>
          <w:rPr>
            <w:lang w:val="es_ES" w:bidi="es_ES"/>
          </w:rPr>
          <w:rPr>
            <w:color w:val="0000EE"/>
            <w:u w:val="single"/>
          </w:rPr>
          <w:t>8:1–13</w:t>
        </w:r>
      </w:hyperlink>
      <w:r>
        <w:rPr>
          <w:lang w:val="es_ES" w:bidi="es_ES"/>
        </w:rPr>
        <w:t xml:space="preserve">; </w:t>
      </w:r>
      <w:hyperlink r:id="rId40">
        <w:r>
          <w:rPr>
            <w:lang w:val="es_ES" w:bidi="es_ES"/>
          </w:rPr>
          <w:rPr>
            <w:color w:val="0000EE"/>
            <w:u w:val="single"/>
          </w:rPr>
          <w:t>10:1–11:1</w:t>
        </w:r>
      </w:hyperlink>
      <w:r>
        <w:rPr>
          <w:lang w:val="es_ES" w:bidi="es_ES"/>
        </w:rP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pPr/>
      <w:r>
        <w:rPr>
          <w:lang w:val="es_ES" w:bidi="es_ES"/>
        </w:rPr>
      </w:r>
      <w:r>
        <w:rPr>
          <w:lang w:val="es_ES" w:bidi="es_ES"/>
        </w:rP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hyperlink r:id="rId41">
        <w:r>
          <w:rPr>
            <w:lang w:val="es_ES" w:bidi="es_ES"/>
          </w:rPr>
          <w:rPr>
            <w:color w:val="0000EE"/>
            <w:u w:val="single"/>
          </w:rPr>
          <w:t>10:31–33</w:t>
        </w:r>
      </w:hyperlink>
      <w:r>
        <w:rPr>
          <w:lang w:val="es_ES" w:bidi="es_ES"/>
        </w:rPr>
        <w:t>). Este es el equivalente de Pablo a los dos grandes mandamientos de amor de Jesús (</w:t>
      </w:r>
      <w:hyperlink r:id="rId42">
        <w:r>
          <w:rPr>
            <w:lang w:val="es_ES" w:bidi="es_ES"/>
          </w:rPr>
          <w:rPr>
            <w:color w:val="0000EE"/>
            <w:u w:val="single"/>
          </w:rPr>
          <w:t>Mt 22:36–40,</w:t>
        </w:r>
      </w:hyperlink>
      <w:r>
        <w:rPr>
          <w:lang w:val="es_ES" w:bidi="es_ES"/>
        </w:rPr>
        <w:t xml:space="preserve"> </w:t>
      </w:r>
      <w:hyperlink r:id="rId43">
        <w:r>
          <w:rPr>
            <w:lang w:val="es_ES" w:bidi="es_ES"/>
          </w:rPr>
          <w:rPr>
            <w:color w:val="0000EE"/>
            <w:u w:val="single"/>
          </w:rPr>
          <w:t>Lucas 10:25–37</w:t>
        </w:r>
      </w:hyperlink>
      <w:r>
        <w:rPr>
          <w:lang w:val="es_ES" w:bidi="es_ES"/>
        </w:rPr>
        <w:t>). En esta carta, vemos más claramente que en otros lugares cómo Pablo aplica estos principios perdurables a una amplia gama de problemas prácticos.</w:t>
      </w:r>
    </w:p>
    <w:p>
      <w:pPr/>
      <w:r>
        <w:rPr>
          <w:lang w:val="es_ES" w:bidi="es_ES"/>
        </w:rPr>
      </w:r>
      <w:r>
        <w:rPr>
          <w:lang w:val="es_ES" w:bidi="es_ES"/>
        </w:rPr>
        <w:t>La comprensión de Pablo sobre el evangelismo. Cuando Pablo es criticado por su enfoque poco sofisticado y no intelectual hacia el evangelismo (</w:t>
      </w:r>
      <w:hyperlink r:id="rId20">
        <w:r>
          <w:rPr>
            <w:lang w:val="es_ES" w:bidi="es_ES"/>
          </w:rPr>
          <w:rPr>
            <w:color w:val="0000EE"/>
            <w:u w:val="single"/>
          </w:rPr>
          <w:t>1 Co 1:1–4:21</w:t>
        </w:r>
      </w:hyperlink>
      <w:r>
        <w:rPr>
          <w:lang w:val="es_ES" w:bidi="es_ES"/>
        </w:rP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pPr/>
      <w:r>
        <w:rPr>
          <w:lang w:val="es_ES" w:bidi="es_ES"/>
        </w:rPr>
      </w:r>
      <w:r>
        <w:rPr>
          <w:lang w:val="es_ES" w:bidi="es_ES"/>
        </w:rPr>
        <w:t xml:space="preserve">Unidad y amor en la Iglesia. La unidad entre los creyentes es un tema importante a lo largo de esta carta, ya que varios de los problemas que Pablo aborda aparentemente han dividido a la iglesia (ver </w:t>
      </w:r>
      <w:hyperlink r:id="rId44">
        <w:r>
          <w:rPr>
            <w:lang w:val="es_ES" w:bidi="es_ES"/>
          </w:rPr>
          <w:rPr>
            <w:color w:val="0000EE"/>
            <w:u w:val="single"/>
          </w:rPr>
          <w:t>1:10–4:21</w:t>
        </w:r>
      </w:hyperlink>
      <w:r>
        <w:rPr>
          <w:lang w:val="es_ES" w:bidi="es_ES"/>
        </w:rPr>
        <w:t xml:space="preserve">, grupos en la iglesia; </w:t>
      </w:r>
      <w:hyperlink r:id="rId45">
        <w:r>
          <w:rPr>
            <w:lang w:val="es_ES" w:bidi="es_ES"/>
          </w:rPr>
          <w:rPr>
            <w:color w:val="0000EE"/>
            <w:u w:val="single"/>
          </w:rPr>
          <w:t>6:1–12</w:t>
        </w:r>
      </w:hyperlink>
      <w:r>
        <w:rPr>
          <w:lang w:val="es_ES" w:bidi="es_ES"/>
        </w:rPr>
        <w:t xml:space="preserve">, denuncias contra otros cristianos; </w:t>
      </w:r>
      <w:hyperlink r:id="rId46">
        <w:r>
          <w:rPr>
            <w:lang w:val="es_ES" w:bidi="es_ES"/>
          </w:rPr>
          <w:rPr>
            <w:color w:val="0000EE"/>
            <w:u w:val="single"/>
          </w:rPr>
          <w:t>8:1–11:1</w:t>
        </w:r>
      </w:hyperlink>
      <w:r>
        <w:rPr>
          <w:lang w:val="es_ES" w:bidi="es_ES"/>
        </w:rPr>
        <w:t xml:space="preserve">, diferentes opiniones sobre alimentos sacrificados a ídolos; </w:t>
      </w:r>
      <w:hyperlink r:id="rId47">
        <w:r>
          <w:rPr>
            <w:lang w:val="es_ES" w:bidi="es_ES"/>
          </w:rPr>
          <w:rPr>
            <w:color w:val="0000EE"/>
            <w:u w:val="single"/>
          </w:rPr>
          <w:t>11:2–16</w:t>
        </w:r>
      </w:hyperlink>
      <w:r>
        <w:rPr>
          <w:lang w:val="es_ES" w:bidi="es_ES"/>
        </w:rPr>
        <w:t xml:space="preserve">, diferentes opiniones sobre la vestimenta adecuada para las mujeres que ministran públicamente; </w:t>
      </w:r>
      <w:hyperlink r:id="rId48">
        <w:r>
          <w:rPr>
            <w:lang w:val="es_ES" w:bidi="es_ES"/>
          </w:rPr>
          <w:rPr>
            <w:color w:val="0000EE"/>
            <w:u w:val="single"/>
          </w:rPr>
          <w:t>11:17–34</w:t>
        </w:r>
      </w:hyperlink>
      <w:r>
        <w:rPr>
          <w:lang w:val="es_ES" w:bidi="es_ES"/>
        </w:rP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hyperlink r:id="rId49">
        <w:r>
          <w:rPr>
            <w:lang w:val="es_ES" w:bidi="es_ES"/>
          </w:rPr>
          <w:rPr>
            <w:color w:val="0000EE"/>
            <w:u w:val="single"/>
          </w:rPr>
          <w:t>13</w:t>
        </w:r>
      </w:hyperlink>
      <w:r>
        <w:rPr>
          <w:lang w:val="es_ES" w:bidi="es_ES"/>
        </w:rPr>
        <w:t>), destaca la importancia de relacionarse con otros creyentes con amor sacrificial, el tipo de amor mostrado por el mismo Cristo.</w:t>
      </w:r>
    </w:p>
    <w:p>
      <w:pPr/>
      <w:r>
        <w:rPr>
          <w:lang w:val="es_ES" w:bidi="es_ES"/>
        </w:rPr>
      </w:r>
      <w:r>
        <w:rPr>
          <w:lang w:val="es_ES" w:bidi="es_ES"/>
        </w:rPr>
        <w:t xml:space="preserve">Matrimonio, divorcio y la vida de soltero. Pablo tiene una alta consideración por el matrimonio y se opone firmemente al divorcio. A la luz del difícil entorno para los cristianos en el primer siglo y su visión del inminente regreso de Cristo (ver </w:t>
      </w:r>
      <w:hyperlink r:id="rId50">
        <w:r>
          <w:rPr>
            <w:lang w:val="es_ES" w:bidi="es_ES"/>
          </w:rPr>
          <w:rPr>
            <w:color w:val="0000EE"/>
            <w:u w:val="single"/>
          </w:rPr>
          <w:t>7:25–31</w:t>
        </w:r>
      </w:hyperlink>
      <w:r>
        <w:rPr>
          <w:lang w:val="es_ES" w:bidi="es_ES"/>
        </w:rPr>
        <w:t xml:space="preserve">), Pablo anima a aquellos que están solteros a permanecer así, considerando la soltería como una oportunidad para dedicar plena devoción a la obra de Cristo en el mundo (ver </w:t>
      </w:r>
      <w:hyperlink r:id="rId51">
        <w:r>
          <w:rPr>
            <w:lang w:val="es_ES" w:bidi="es_ES"/>
          </w:rPr>
          <w:rPr>
            <w:color w:val="0000EE"/>
            <w:u w:val="single"/>
          </w:rPr>
          <w:t>7:32–35</w:t>
        </w:r>
      </w:hyperlink>
      <w:r>
        <w:rPr>
          <w:lang w:val="es_ES" w:bidi="es_ES"/>
        </w:rPr>
        <w:t>). Las dos formas de vivir (casado y célibe) no son fines en sí mismas, sino maneras alternativas de participar en el propósito más importante de servir a Cristo.</w:t>
      </w:r>
    </w:p>
    <w:p>
      <w:pPr/>
      <w:r>
        <w:rPr>
          <w:lang w:val="es_ES" w:bidi="es_ES"/>
        </w:rPr>
      </w:r>
      <w:r>
        <w:rPr>
          <w:lang w:val="es_ES" w:bidi="es_ES"/>
        </w:rPr>
        <w:t xml:space="preserve">La Cena del Señor. Esta carta ofrece una visión significativa sobre la comprensión y práctica cristiana temprana de la Cena del Señor, proporcionando el único tratamiento extenso en el Nuevo Testamento (caps. </w:t>
      </w:r>
      <w:hyperlink r:id="rId52">
        <w:r>
          <w:rPr>
            <w:lang w:val="es_ES" w:bidi="es_ES"/>
          </w:rPr>
          <w:rPr>
            <w:color w:val="0000EE"/>
            <w:u w:val="single"/>
          </w:rPr>
          <w:t>10–11</w:t>
        </w:r>
      </w:hyperlink>
      <w:r>
        <w:rPr>
          <w:lang w:val="es_ES" w:bidi="es_ES"/>
        </w:rPr>
        <w:t>).</w:t>
      </w:r>
    </w:p>
    <w:p>
      <w:pPr/>
      <w:r>
        <w:rPr>
          <w:lang w:val="es_ES" w:bidi="es_ES"/>
        </w:rPr>
      </w:r>
      <w:r>
        <w:rPr>
          <w:lang w:val="es_ES" w:bidi="es_ES"/>
        </w:rPr>
        <w:t xml:space="preserve">La Iglesia como un Cuerpo. Pablo concibe la iglesia como un cuerpo dinámico, guiado por el Espíritu, compuesto por diferentes partes, cada una con su propio trabajo único que realizar (caps. </w:t>
      </w:r>
      <w:hyperlink r:id="rId53">
        <w:r>
          <w:rPr>
            <w:lang w:val="es_ES" w:bidi="es_ES"/>
          </w:rPr>
          <w:rPr>
            <w:color w:val="0000EE"/>
            <w:u w:val="single"/>
          </w:rPr>
          <w:t>12</w:t>
        </w:r>
      </w:hyperlink>
      <w:r>
        <w:rPr>
          <w:lang w:val="es_ES" w:bidi="es_ES"/>
        </w:rPr>
        <w:t xml:space="preserve">, </w:t>
      </w:r>
      <w:hyperlink r:id="rId54">
        <w:r>
          <w:rPr>
            <w:lang w:val="es_ES" w:bidi="es_ES"/>
          </w:rPr>
          <w:rPr>
            <w:color w:val="0000EE"/>
            <w:u w:val="single"/>
          </w:rPr>
          <w:t>14</w:t>
        </w:r>
      </w:hyperlink>
      <w:r>
        <w:rPr>
          <w:lang w:val="es_ES" w:bidi="es_ES"/>
        </w:rPr>
        <w:t>). En estos primeros días del movimiento cristiano, no hay distinción entre clero y laicado, pero los diferentes roles crean un ministerio complementario de los dones del Espíritu cuando los cristianos se reúnen. Cada persona tiene un papel que desempeñar en la edificación del cuerpo, y los individuos dependen del Espíritu para ser empoderados y guiados en sus ministerios.</w:t>
      </w:r>
    </w:p>
    <w:p>
      <w:pPr/>
      <w:r>
        <w:rPr>
          <w:lang w:val="es_ES" w:bidi="es_ES"/>
        </w:rPr>
      </w:r>
      <w:r>
        <w:rPr>
          <w:lang w:val="es_ES" w:bidi="es_ES"/>
        </w:rPr>
        <w:t xml:space="preserve">La Resurrección. Entre los escritos del Nuevo Testamento, esta carta nos ofrece la discusión más completa sobre la resurrección (cap. </w:t>
      </w:r>
      <w:hyperlink r:id="rId26">
        <w:r>
          <w:rPr>
            <w:lang w:val="es_ES" w:bidi="es_ES"/>
          </w:rPr>
          <w:rPr>
            <w:color w:val="0000EE"/>
            <w:u w:val="single"/>
          </w:rPr>
          <w:t>15</w:t>
        </w:r>
      </w:hyperlink>
      <w:r>
        <w:rPr>
          <w:lang w:val="es_ES" w:bidi="es_ES"/>
        </w:rPr>
        <w:t>), incluyendo el relato más detallado de quienes vieron al Jesús resucitado, la justificación para una futura resurrección y la naturaleza de los cuerpos resucitados.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