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w:t>
      </w:r>
      <w:r>
        <w:rPr>
          <w:lang w:val="ar_AE" w:bidi="ar_AE"/>
        </w:rPr>
      </w:r>
    </w:p>
    <w:p>
      <w:pPr>
        <w:bidi/>
      </w:pPr>
      <w:r>
        <w:rPr>
          <w:lang w:val="ar_AE" w:bidi="ar_AE"/>
        </w:rPr>
      </w:r>
      <w:r>
        <w:rPr>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lang w:val="ar_AE" w:bidi="ar_AE"/>
        </w:rPr>
        <w:t>الإعداد</w:t>
      </w:r>
    </w:p>
    <w:p>
      <w:pPr>
        <w:bidi/>
      </w:pPr>
      <w:r>
        <w:rPr>
          <w:lang w:val="ar_AE" w:bidi="ar_AE"/>
        </w:rPr>
      </w:r>
      <w:r>
        <w:rPr>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lang w:val="ar_AE" w:bidi="ar_AE"/>
        </w:rPr>
      </w:r>
      <w:r>
        <w:rPr>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lang w:val="ar_AE" w:bidi="ar_AE"/>
        </w:rPr>
        <w:t>المُلخص</w:t>
      </w:r>
    </w:p>
    <w:p>
      <w:pPr>
        <w:bidi/>
      </w:pPr>
      <w:r>
        <w:rPr>
          <w:lang w:val="ar_AE" w:bidi="ar_AE"/>
        </w:rPr>
      </w:r>
      <w:r>
        <w:rPr>
          <w:lang w:val="ar_AE" w:bidi="ar_AE"/>
        </w:rPr>
        <w:t xml:space="preserve">مُصطلح </w:t>
      </w:r>
      <w:r>
        <w:rPr>
          <w:i/>
          <w:lang w:val="ar_AE" w:bidi="ar_AE"/>
        </w:rPr>
        <w:t>الخروج</w:t>
      </w:r>
      <w:r>
        <w:rPr>
          <w:lang w:val="ar_AE" w:bidi="ar_AE"/>
        </w:rPr>
        <w:t xml:space="preserve"> مُشتق من الكلمة اليونانية exodos</w:t>
      </w:r>
      <w:r>
        <w:rPr>
          <w:i/>
          <w:lang w:val="ar_AE" w:bidi="ar_AE"/>
        </w:rPr>
        <w:t>،</w:t>
      </w:r>
      <w:r>
        <w:rPr>
          <w:lang w:val="ar_AE" w:bidi="ar_AE"/>
        </w:rPr>
        <w:t xml:space="preserve"> والتي تعني "العبور". </w:t>
      </w:r>
      <w:r>
        <w:rPr>
          <w:lang w:val="ar_AE" w:bidi="ar_AE"/>
        </w:rPr>
        <w:t>خروج 1–15</w:t>
      </w:r>
      <w:r>
        <w:rPr>
          <w:lang w:val="ar_AE" w:bidi="ar_AE"/>
        </w:rPr>
        <w:t xml:space="preserve">يتحدث عن "خروج" العبرانيين من مصر. يكشف باقي سفر الخروج (الإصحاحات </w:t>
      </w:r>
      <w:r>
        <w:rPr>
          <w:lang w:val="ar_AE" w:bidi="ar_AE"/>
        </w:rPr>
        <w:t>من 16 إلى 40</w:t>
      </w:r>
      <w:r>
        <w:rPr>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lang w:val="ar_AE" w:bidi="ar_AE"/>
        </w:rPr>
        <w:t>1–15</w:t>
      </w:r>
      <w:r>
        <w:rPr>
          <w:lang w:val="ar_AE" w:bidi="ar_AE"/>
        </w:rPr>
        <w:t>)، ومعرفة من هو الله وما هو عليه من خلال العهد في سيناء (فصول</w:t>
      </w:r>
      <w:r>
        <w:rPr>
          <w:lang w:val="ar_AE" w:bidi="ar_AE"/>
        </w:rPr>
        <w:t>16–24</w:t>
      </w:r>
      <w:r>
        <w:rPr>
          <w:lang w:val="ar_AE" w:bidi="ar_AE"/>
        </w:rPr>
        <w:t xml:space="preserve">)، واختبار الشركة مع الله من خلال خيمة الاجتماع (فصول </w:t>
      </w:r>
      <w:r>
        <w:rPr>
          <w:lang w:val="ar_AE" w:bidi="ar_AE"/>
        </w:rPr>
        <w:t>25–40</w:t>
      </w:r>
      <w:r>
        <w:rPr>
          <w:lang w:val="ar_AE" w:bidi="ar_AE"/>
        </w:rPr>
        <w:t>). لدينا جميعًا نفس الحاجة إلى أن نكون أحرار، ونعرف الله ونختبر الشركة معه.</w:t>
      </w:r>
    </w:p>
    <w:p>
      <w:pPr>
        <w:pStyle w:val="Heading2"/>
        <w:bidi/>
      </w:pPr>
      <w:r>
        <w:rPr>
          <w:lang w:val="ar_AE" w:bidi="ar_AE"/>
        </w:rPr>
        <w:t>الكاتب</w:t>
      </w:r>
    </w:p>
    <w:p>
      <w:pPr>
        <w:bidi/>
      </w:pPr>
      <w:r>
        <w:rPr>
          <w:lang w:val="ar_AE" w:bidi="ar_AE"/>
        </w:rPr>
      </w:r>
      <w:r>
        <w:rPr>
          <w:lang w:val="ar_AE" w:bidi="ar_AE"/>
        </w:rPr>
        <w:t>من التقليدي اعتبار موسى هو كاتب أسفار موسى الخمسة (</w:t>
      </w:r>
      <w:r>
        <w:rPr>
          <w:lang w:val="ar_AE" w:bidi="ar_AE"/>
        </w:rPr>
        <w:t>سفر</w:t>
      </w:r>
      <w:r>
        <w:rPr>
          <w:lang w:val="ar_AE" w:bidi="ar_AE"/>
        </w:rPr>
        <w:t xml:space="preserve"> التكوين - سفر التثنية)، على الرغم من أن العديد من العلماء يُشككون في ذلك. اُنظر </w:t>
      </w:r>
      <w:r>
        <w:rPr>
          <w:lang w:val="ar_AE" w:bidi="ar_AE"/>
        </w:rPr>
        <w:t>مُقدمة سفر التكوين</w:t>
      </w:r>
      <w:r>
        <w:rPr>
          <w:lang w:val="ar_AE" w:bidi="ar_AE"/>
        </w:rPr>
        <w:t>، "الكاتب".</w:t>
      </w:r>
    </w:p>
    <w:p>
      <w:pPr>
        <w:pStyle w:val="Heading2"/>
        <w:bidi/>
      </w:pPr>
      <w:r>
        <w:rPr>
          <w:lang w:val="ar_AE" w:bidi="ar_AE"/>
        </w:rPr>
        <w:t>تاريخ الخروج (1446 أو 1270 قبل الميلاد)</w:t>
      </w:r>
    </w:p>
    <w:p>
      <w:pPr>
        <w:bidi/>
      </w:pPr>
      <w:r>
        <w:rPr>
          <w:lang w:val="ar_AE" w:bidi="ar_AE"/>
        </w:rPr>
      </w:r>
      <w:r>
        <w:rPr>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lang w:val="ar_AE" w:bidi="ar_AE"/>
        </w:rPr>
      </w:r>
      <w:r>
        <w:rPr>
          <w:lang w:val="ar_AE" w:bidi="ar_AE"/>
        </w:rPr>
        <w:t xml:space="preserve">أولًا، وفقًا لما ورد في </w:t>
      </w:r>
      <w:r>
        <w:rPr>
          <w:lang w:val="ar_AE" w:bidi="ar_AE"/>
        </w:rPr>
        <w:t>1 ملوك 14: 25–26</w:t>
      </w:r>
      <w:r>
        <w:rPr>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lang w:val="ar_AE" w:bidi="ar_AE"/>
        </w:rPr>
      </w:r>
      <w:r>
        <w:rPr>
          <w:lang w:val="ar_AE" w:bidi="ar_AE"/>
        </w:rPr>
        <w:t>المُؤشر الزمني الثاني لتاريخ الخروج هو "الملك الجديد" الذي "لم يَعرف شيئًا عن يوسف" (</w:t>
      </w:r>
      <w:r>
        <w:rPr>
          <w:lang w:val="ar_AE" w:bidi="ar_AE"/>
        </w:rPr>
        <w:t>خر 1: 8</w:t>
      </w:r>
      <w:r>
        <w:rPr>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lang w:val="ar_AE" w:bidi="ar_AE"/>
        </w:rPr>
        <w:t>تك 39</w:t>
      </w:r>
      <w:r>
        <w:rPr>
          <w:lang w:val="ar_AE" w:bidi="ar_AE"/>
        </w:rPr>
        <w:t xml:space="preserve">؛ </w:t>
      </w:r>
      <w:r>
        <w:rPr>
          <w:lang w:val="ar_AE" w:bidi="ar_AE"/>
        </w:rPr>
        <w:t>46</w:t>
      </w:r>
      <w:r>
        <w:rPr>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lang w:val="ar_AE" w:bidi="ar_AE"/>
        </w:rPr>
        <w:t>سفر الخروج 1: 8</w:t>
      </w:r>
      <w:r>
        <w:rPr>
          <w:lang w:val="ar_AE" w:bidi="ar_AE"/>
        </w:rPr>
        <w:t>.</w:t>
      </w:r>
    </w:p>
    <w:p>
      <w:pPr>
        <w:bidi/>
      </w:pPr>
      <w:r>
        <w:rPr>
          <w:lang w:val="ar_AE" w:bidi="ar_AE"/>
        </w:rPr>
      </w:r>
      <w:r>
        <w:rPr>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lang w:val="ar_AE" w:bidi="ar_AE"/>
        </w:rPr>
      </w:r>
      <w:r>
        <w:rPr>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lang w:val="ar_AE" w:bidi="ar_AE"/>
        </w:rPr>
      </w:r>
      <w:r>
        <w:rPr>
          <w:lang w:val="ar_AE" w:bidi="ar_AE"/>
        </w:rPr>
        <w:t xml:space="preserve">الخروج المبكر (حوالي عام 1446 قبل الميلاد) يَضع السيناريو التقليدي تاريخ الخروج حوالي عام 1446 قبل الميلاد. وفقًا لما ورد في </w:t>
      </w:r>
      <w:r>
        <w:rPr>
          <w:lang w:val="ar_AE" w:bidi="ar_AE"/>
        </w:rPr>
        <w:t>1 ملوك 6:1</w:t>
      </w:r>
      <w:r>
        <w:rPr>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lang w:val="ar_AE" w:bidi="ar_AE"/>
        </w:rPr>
        <w:t>قض 11: 26</w:t>
      </w:r>
      <w:r>
        <w:rPr>
          <w:lang w:val="ar_AE" w:bidi="ar_AE"/>
        </w:rPr>
        <w:t xml:space="preserve">). </w:t>
      </w:r>
      <w:r>
        <w:rPr>
          <w:lang w:val="ar_AE" w:bidi="ar_AE"/>
        </w:rPr>
        <w:t>سفر العدد 21:21–35</w:t>
      </w:r>
      <w:r>
        <w:rPr>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lang w:val="ar_AE" w:bidi="ar_AE"/>
        </w:rPr>
      </w:r>
      <w:r>
        <w:rPr>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lang w:val="ar_AE" w:bidi="ar_AE"/>
        </w:rPr>
        <w:t>خروج 1:11</w:t>
      </w:r>
      <w:r>
        <w:rPr>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lang w:val="ar_AE" w:bidi="ar_AE"/>
        </w:rPr>
        <w:t>1 ملوك 6: 1</w:t>
      </w:r>
      <w:r>
        <w:rPr>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lang w:val="ar_AE" w:bidi="ar_AE"/>
        </w:rPr>
        <w:t>تواريخ الآباء</w:t>
      </w:r>
    </w:p>
    <w:p>
      <w:pPr>
        <w:bidi/>
      </w:pPr>
      <w:r>
        <w:rPr>
          <w:lang w:val="ar_AE" w:bidi="ar_AE"/>
        </w:rPr>
      </w:r>
      <w:r>
        <w:rPr>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lang w:val="ar_AE" w:bidi="ar_AE"/>
        </w:rPr>
      </w:r>
      <w:r>
        <w:rPr>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lang w:val="ar_AE" w:bidi="ar_AE"/>
        </w:rPr>
        <w:t>تك 12: 4</w:t>
      </w:r>
      <w:r>
        <w:rPr>
          <w:lang w:val="ar_AE" w:bidi="ar_AE"/>
        </w:rPr>
        <w:t xml:space="preserve">؛ </w:t>
      </w:r>
      <w:r>
        <w:rPr>
          <w:lang w:val="ar_AE" w:bidi="ar_AE"/>
        </w:rPr>
        <w:t>21: 5</w:t>
      </w:r>
      <w:r>
        <w:rPr>
          <w:lang w:val="ar_AE" w:bidi="ar_AE"/>
        </w:rPr>
        <w:t xml:space="preserve">؛ </w:t>
      </w:r>
      <w:r>
        <w:rPr>
          <w:lang w:val="ar_AE" w:bidi="ar_AE"/>
        </w:rPr>
        <w:t>25: 26</w:t>
      </w:r>
      <w:r>
        <w:rPr>
          <w:lang w:val="ar_AE" w:bidi="ar_AE"/>
        </w:rPr>
        <w:t xml:space="preserve">؛ </w:t>
      </w:r>
      <w:r>
        <w:rPr>
          <w:lang w:val="ar_AE" w:bidi="ar_AE"/>
        </w:rPr>
        <w:t>47: 9</w:t>
      </w:r>
      <w:r>
        <w:rPr>
          <w:lang w:val="ar_AE" w:bidi="ar_AE"/>
        </w:rPr>
        <w:t xml:space="preserve"> إلى أن الآباء قضوا 215 سنة في كنعان.</w:t>
      </w:r>
    </w:p>
    <w:p>
      <w:pPr>
        <w:bidi/>
      </w:pPr>
      <w:r>
        <w:rPr>
          <w:lang w:val="ar_AE" w:bidi="ar_AE"/>
        </w:rPr>
      </w:r>
      <w:r>
        <w:rPr>
          <w:lang w:val="ar_AE" w:bidi="ar_AE"/>
        </w:rPr>
        <w:t xml:space="preserve">لقد شَكّل طول مدة إقامة إسرائيل في مصر عامل إضافي، وهنا يوجد اختلاف في النصوص. يقول النص الماسوري العبري (MT) </w:t>
      </w:r>
      <w:r>
        <w:rPr>
          <w:lang w:val="ar_AE" w:bidi="ar_AE"/>
        </w:rPr>
        <w:t>لسفر الخروج 12: 40</w:t>
      </w:r>
      <w:r>
        <w:rPr>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lang w:val="ar_AE" w:bidi="ar_AE"/>
        </w:rPr>
        <w:t>خروج 12: 40</w:t>
      </w:r>
      <w:r>
        <w:rPr>
          <w:lang w:val="ar_AE" w:bidi="ar_AE"/>
        </w:rPr>
        <w:t xml:space="preserve"> تشمل الوقت الذي قضاه بنو إسرائيل في كل من كنعان ومصر (وهو التسلسل الزمني الذي يبدو أن بولس اتبعه انظر </w:t>
      </w:r>
      <w:r>
        <w:rPr>
          <w:lang w:val="ar_AE" w:bidi="ar_AE"/>
        </w:rPr>
        <w:t>غلاطية 3: 17</w:t>
      </w:r>
      <w:r>
        <w:rPr>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lang w:val="ar_AE" w:bidi="ar_AE"/>
        </w:rPr>
        <w:t>تكوين 15: 13–16</w:t>
      </w:r>
      <w:r>
        <w:rPr>
          <w:lang w:val="ar_AE" w:bidi="ar_AE"/>
        </w:rPr>
        <w:t xml:space="preserve">. </w:t>
      </w:r>
      <w:r>
        <w:rPr>
          <w:lang w:val="ar_AE" w:bidi="ar_AE"/>
        </w:rPr>
        <w:t>خر 6: 16–20</w:t>
      </w:r>
      <w:r>
        <w:rPr>
          <w:lang w:val="ar_AE" w:bidi="ar_AE"/>
        </w:rPr>
        <w:t xml:space="preserve">؛ </w:t>
      </w:r>
      <w:r>
        <w:rPr>
          <w:lang w:val="ar_AE" w:bidi="ar_AE"/>
        </w:rPr>
        <w:t>عدد 3: 17–19</w:t>
      </w:r>
      <w:r>
        <w:rPr>
          <w:lang w:val="ar_AE" w:bidi="ar_AE"/>
        </w:rPr>
        <w:t xml:space="preserve">؛ </w:t>
      </w:r>
      <w:r>
        <w:rPr>
          <w:lang w:val="ar_AE" w:bidi="ar_AE"/>
        </w:rPr>
        <w:t>26: 58–59</w:t>
      </w:r>
      <w:r>
        <w:rPr>
          <w:lang w:val="ar_AE" w:bidi="ar_AE"/>
        </w:rPr>
        <w:t xml:space="preserve">؛ </w:t>
      </w:r>
      <w:r>
        <w:rPr>
          <w:lang w:val="ar_AE" w:bidi="ar_AE"/>
        </w:rPr>
        <w:t>1 أخ 6: 1–3</w:t>
      </w:r>
      <w:r>
        <w:rPr>
          <w:lang w:val="ar_AE" w:bidi="ar_AE"/>
        </w:rPr>
        <w:t xml:space="preserve">؛ </w:t>
      </w:r>
      <w:r>
        <w:rPr>
          <w:lang w:val="ar_AE" w:bidi="ar_AE"/>
        </w:rPr>
        <w:t>أع 7: 6</w:t>
      </w:r>
      <w:r>
        <w:rPr>
          <w:lang w:val="ar_AE" w:bidi="ar_AE"/>
        </w:rPr>
        <w:t>) يمكن أن تدعم قراءة النصّ العبريّ أو اليونانيّ.</w:t>
      </w:r>
    </w:p>
    <w:p>
      <w:pPr>
        <w:bidi/>
      </w:pPr>
      <w:r>
        <w:rPr>
          <w:lang w:val="ar_AE" w:bidi="ar_AE"/>
        </w:rPr>
      </w:r>
      <w:r>
        <w:rPr>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lang w:val="ar_AE" w:bidi="ar_AE"/>
        </w:rPr>
        <w:t>المعنى والرسالة</w:t>
      </w:r>
    </w:p>
    <w:p>
      <w:pPr>
        <w:bidi/>
      </w:pPr>
      <w:r>
        <w:rPr>
          <w:lang w:val="ar_AE" w:bidi="ar_AE"/>
        </w:rPr>
      </w:r>
      <w:r>
        <w:rPr>
          <w:lang w:val="ar_AE" w:bidi="ar_AE"/>
        </w:rPr>
        <w:t>تُصوّر الفصول الافتتاحية لسفر التكوين مُشكلة خطيرة: لقد خَلق الله العالم والبشر للبركة (</w:t>
      </w:r>
      <w:r>
        <w:rPr>
          <w:lang w:val="ar_AE" w:bidi="ar_AE"/>
        </w:rPr>
        <w:t>تك 1: 27–28</w:t>
      </w:r>
      <w:r>
        <w:rPr>
          <w:lang w:val="ar_AE" w:bidi="ar_AE"/>
        </w:rPr>
        <w:t>)، ولكن العالم وقع تحت اللعنة. لقد فُسد البشر فسادًا عميقًا (</w:t>
      </w:r>
      <w:r>
        <w:rPr>
          <w:lang w:val="ar_AE" w:bidi="ar_AE"/>
        </w:rPr>
        <w:t>تك 6: 5</w:t>
      </w:r>
      <w:r>
        <w:rPr>
          <w:lang w:val="ar_AE" w:bidi="ar_AE"/>
        </w:rPr>
        <w:t xml:space="preserve">)، واِنعزلوا عن خالقهم (تك </w:t>
      </w:r>
      <w:r>
        <w:rPr>
          <w:lang w:val="ar_AE" w:bidi="ar_AE"/>
        </w:rPr>
        <w:t>3: 23–24</w:t>
      </w:r>
      <w:r>
        <w:rPr>
          <w:lang w:val="ar_AE" w:bidi="ar_AE"/>
        </w:rPr>
        <w:t xml:space="preserve">) وعن بعضهم البعض (تك </w:t>
      </w:r>
      <w:r>
        <w:rPr>
          <w:lang w:val="ar_AE" w:bidi="ar_AE"/>
        </w:rPr>
        <w:t>4: 14</w:t>
      </w:r>
      <w:r>
        <w:rPr>
          <w:lang w:val="ar_AE" w:bidi="ar_AE"/>
        </w:rPr>
        <w:t>). تفشى الموت والعنف والارتباك (</w:t>
      </w:r>
      <w:r>
        <w:rPr>
          <w:lang w:val="ar_AE" w:bidi="ar_AE"/>
        </w:rPr>
        <w:t>تك 4: 8</w:t>
      </w:r>
      <w:r>
        <w:rPr>
          <w:lang w:val="ar_AE" w:bidi="ar_AE"/>
        </w:rPr>
        <w:t xml:space="preserve">، </w:t>
      </w:r>
      <w:r>
        <w:rPr>
          <w:lang w:val="ar_AE" w:bidi="ar_AE"/>
        </w:rPr>
        <w:t>23–24</w:t>
      </w:r>
      <w:r>
        <w:rPr>
          <w:lang w:val="ar_AE" w:bidi="ar_AE"/>
        </w:rPr>
        <w:t xml:space="preserve">؛ </w:t>
      </w:r>
      <w:r>
        <w:rPr>
          <w:lang w:val="ar_AE" w:bidi="ar_AE"/>
        </w:rPr>
        <w:t>11: 9</w:t>
      </w:r>
      <w:r>
        <w:rPr>
          <w:lang w:val="ar_AE" w:bidi="ar_AE"/>
        </w:rPr>
        <w:t>). هل هناك طريق للعودة إلى البركة التي قصدها الله في الأصل؟</w:t>
      </w:r>
    </w:p>
    <w:p>
      <w:pPr>
        <w:bidi/>
      </w:pPr>
      <w:r>
        <w:rPr>
          <w:lang w:val="ar_AE" w:bidi="ar_AE"/>
        </w:rPr>
      </w:r>
      <w:r>
        <w:rPr>
          <w:lang w:val="ar_AE" w:bidi="ar_AE"/>
        </w:rPr>
        <w:t xml:space="preserve">في </w:t>
      </w:r>
      <w:r>
        <w:rPr>
          <w:lang w:val="ar_AE" w:bidi="ar_AE"/>
        </w:rPr>
        <w:t>سفر التكوين 12–50</w:t>
      </w:r>
      <w:r>
        <w:rPr>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lang w:val="ar_AE" w:bidi="ar_AE"/>
        </w:rPr>
        <w:t>تك 12: 1–3</w:t>
      </w:r>
      <w:r>
        <w:rPr>
          <w:lang w:val="ar_AE" w:bidi="ar_AE"/>
        </w:rPr>
        <w:t>). آمن إبراهيم بالله على الرغم من أن زوجته بَدت عاقرًا ميؤوسًا منها (</w:t>
      </w:r>
      <w:r>
        <w:rPr>
          <w:lang w:val="ar_AE" w:bidi="ar_AE"/>
        </w:rPr>
        <w:t>تك 15: 6</w:t>
      </w:r>
      <w:r>
        <w:rPr>
          <w:lang w:val="ar_AE" w:bidi="ar_AE"/>
        </w:rPr>
        <w:t>)، وسرعان ما بدأ الله في تحقيق مواعيده (</w:t>
      </w:r>
      <w:r>
        <w:rPr>
          <w:lang w:val="ar_AE" w:bidi="ar_AE"/>
        </w:rPr>
        <w:t>تك 21: 1–7</w:t>
      </w:r>
      <w:r>
        <w:rPr>
          <w:lang w:val="ar_AE" w:bidi="ar_AE"/>
        </w:rPr>
        <w:t>).</w:t>
      </w:r>
    </w:p>
    <w:p>
      <w:pPr>
        <w:bidi/>
      </w:pPr>
      <w:r>
        <w:rPr>
          <w:lang w:val="ar_AE" w:bidi="ar_AE"/>
        </w:rPr>
      </w:r>
      <w:r>
        <w:rPr>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lang w:val="ar_AE" w:bidi="ar_AE"/>
        </w:rPr>
        <w:t>تك 23</w:t>
      </w:r>
      <w:r>
        <w:rPr>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lang w:val="ar_AE" w:bidi="ar_AE"/>
        </w:rPr>
      </w:r>
      <w:r>
        <w:rPr>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lang w:val="ar_AE" w:bidi="ar_AE"/>
        </w:rPr>
        <w:t>18: 11</w:t>
      </w:r>
      <w:r>
        <w:rPr>
          <w:lang w:val="ar_AE" w:bidi="ar_AE"/>
        </w:rPr>
        <w:t>). يُكشف عنه في سفر الخروج على أنه أعظم كائن في الوجود (</w:t>
      </w:r>
      <w:r>
        <w:rPr>
          <w:lang w:val="ar_AE" w:bidi="ar_AE"/>
        </w:rPr>
        <w:t>3: 5- 6</w:t>
      </w:r>
      <w:r>
        <w:rPr>
          <w:lang w:val="ar_AE" w:bidi="ar_AE"/>
        </w:rPr>
        <w:t xml:space="preserve">، </w:t>
      </w:r>
      <w:r>
        <w:rPr>
          <w:lang w:val="ar_AE" w:bidi="ar_AE"/>
        </w:rPr>
        <w:t>14- 15</w:t>
      </w:r>
      <w:r>
        <w:rPr>
          <w:lang w:val="ar_AE" w:bidi="ar_AE"/>
        </w:rPr>
        <w:t xml:space="preserve">؛ </w:t>
      </w:r>
      <w:r>
        <w:rPr>
          <w:lang w:val="ar_AE" w:bidi="ar_AE"/>
        </w:rPr>
        <w:t>6: 3</w:t>
      </w:r>
      <w:r>
        <w:rPr>
          <w:lang w:val="ar_AE" w:bidi="ar_AE"/>
        </w:rPr>
        <w:t>)، متفوقًا على الملوك البشر الذين يِحسبون أنفسهم آلهة وعلى كل قوى الطبيعة. إنه الإله الحقيقي الوحيد.</w:t>
      </w:r>
    </w:p>
    <w:p>
      <w:pPr>
        <w:bidi/>
      </w:pPr>
      <w:r>
        <w:rPr>
          <w:lang w:val="ar_AE" w:bidi="ar_AE"/>
        </w:rPr>
      </w:r>
      <w:r>
        <w:rPr>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lang w:val="ar_AE" w:bidi="ar_AE"/>
        </w:rPr>
        <w:t>34: 5–6</w:t>
      </w:r>
      <w:r>
        <w:rPr>
          <w:lang w:val="ar_AE" w:bidi="ar_AE"/>
        </w:rPr>
        <w:t>).</w:t>
      </w:r>
    </w:p>
    <w:p>
      <w:pPr>
        <w:bidi/>
      </w:pPr>
      <w:r>
        <w:rPr>
          <w:lang w:val="ar_AE" w:bidi="ar_AE"/>
        </w:rPr>
      </w:r>
      <w:r>
        <w:rPr>
          <w:lang w:val="ar_AE" w:bidi="ar_AE"/>
        </w:rPr>
        <w:t>استخدم الله العهد (</w:t>
      </w:r>
      <w:r>
        <w:rPr>
          <w:lang w:val="ar_AE" w:bidi="ar_AE"/>
        </w:rPr>
        <w:t>خروج 19–23</w:t>
      </w:r>
      <w:r>
        <w:rPr>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lang w:val="ar_AE" w:bidi="ar_AE"/>
        </w:rPr>
        <w:t>20: 3–17</w:t>
      </w:r>
      <w:r>
        <w:rPr>
          <w:lang w:val="ar_AE" w:bidi="ar_AE"/>
        </w:rPr>
        <w:t>). يجب على أولئك الذين هم في علاقة عهد مع الله أن يُعاملوا بعضهم البعض بشكل أخلاقي.</w:t>
      </w:r>
    </w:p>
    <w:p>
      <w:pPr>
        <w:bidi/>
      </w:pPr>
      <w:r>
        <w:rPr>
          <w:lang w:val="ar_AE" w:bidi="ar_AE"/>
        </w:rPr>
      </w:r>
      <w:r>
        <w:rPr>
          <w:lang w:val="ar_AE" w:bidi="ar_AE"/>
        </w:rPr>
        <w:t>يُخلص الله شعبه ويدعونا إلى حياة القداسة لكي تكون لنا علاقة شخصية حية معه. إن إصحاحات خيمة الاجتماع (</w:t>
      </w:r>
      <w:r>
        <w:rPr>
          <w:lang w:val="ar_AE" w:bidi="ar_AE"/>
        </w:rPr>
        <w:t>25–40</w:t>
      </w:r>
      <w:r>
        <w:rPr>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lang w:val="ar_AE" w:bidi="ar_AE"/>
        </w:rPr>
        <w:t>40: 34–38</w:t>
      </w:r>
      <w:r>
        <w:rPr>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