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lang w:val="ar_AE" w:bidi="ar_AE"/>
        </w:rPr>
        <w:t>سِياقُ السِّفْرِ</w:t>
      </w:r>
    </w:p>
    <w:p>
      <w:pPr>
        <w:bidi/>
      </w:pPr>
      <w:r>
        <w:rPr>
          <w:lang w:val="ar_AE" w:bidi="ar_AE"/>
        </w:rPr>
      </w:r>
      <w:r>
        <w:rPr>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hyperlink r:id="rId13">
        <w:r>
          <w:rPr>
            <w:lang w:val="ar_AE" w:bidi="ar_AE"/>
          </w:rPr>
          <w:rPr>
            <w:color w:val="0000EE"/>
            <w:u w:val="single"/>
          </w:rPr>
          <w:t>2 المُلُوك 21:1–7</w:t>
        </w:r>
      </w:hyperlink>
      <w:r>
        <w:rPr>
          <w:lang w:val="ar_AE" w:bidi="ar_AE"/>
        </w:rPr>
        <w:t xml:space="preserve">). ونتيجةً لذلك، أضْحَتْ مَمْلَكَةُ يَهُوذَا خرابًا روحيًّا (لكن انْظُرْ </w:t>
      </w:r>
      <w:hyperlink r:id="rId14">
        <w:r>
          <w:rPr>
            <w:lang w:val="ar_AE" w:bidi="ar_AE"/>
          </w:rPr>
          <w:rPr>
            <w:color w:val="0000EE"/>
            <w:u w:val="single"/>
          </w:rPr>
          <w:t>2 أخبار الأيام 33:10–17</w:t>
        </w:r>
      </w:hyperlink>
      <w:r>
        <w:rPr>
          <w:lang w:val="ar_AE" w:bidi="ar_AE"/>
        </w:rPr>
        <w:t>). بعد المَلِك مَنَسَّى، وفي الزمنِ القصير لِمُلْكِهِ، سارَ ابْنُه، المَلِكُ آمون على دربِ أبيِهِ السَّلْبيِّ (</w:t>
      </w:r>
      <w:hyperlink r:id="rId15">
        <w:r>
          <w:rPr>
            <w:lang w:val="ar_AE" w:bidi="ar_AE"/>
          </w:rPr>
          <w:rPr>
            <w:color w:val="0000EE"/>
            <w:u w:val="single"/>
          </w:rPr>
          <w:t>2 المُلُوك 21:21</w:t>
        </w:r>
      </w:hyperlink>
      <w:r>
        <w:rPr>
          <w:lang w:val="ar_AE" w:bidi="ar_AE"/>
        </w:rPr>
        <w:t>). وعندما قَامَ بعضُ عبيدِ القَصَرِ المَلَكِيِّ في أُورُشَلِيم باغتيالِهِ (</w:t>
      </w:r>
      <w:hyperlink r:id="rId16">
        <w:r>
          <w:rPr>
            <w:lang w:val="ar_AE" w:bidi="ar_AE"/>
          </w:rPr>
          <w:rPr>
            <w:color w:val="0000EE"/>
            <w:u w:val="single"/>
          </w:rPr>
          <w:t>2 المُلُوك 21:23–24</w:t>
        </w:r>
      </w:hyperlink>
      <w:r>
        <w:rPr>
          <w:lang w:val="ar_AE" w:bidi="ar_AE"/>
        </w:rPr>
        <w:t>)، أَسْرَعَ الشَّعْبُ بتتويج ابنه يُوشِيَّا مَلِكًا على يَهوُذَا وهو يَبْلُغُ من العُمْرِ ثماني سنواتٍ.</w:t>
      </w:r>
    </w:p>
    <w:p>
      <w:pPr>
        <w:bidi/>
      </w:pPr>
      <w:r>
        <w:rPr>
          <w:lang w:val="ar_AE" w:bidi="ar_AE"/>
        </w:rPr>
      </w:r>
      <w:r>
        <w:rPr>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hyperlink r:id="rId17">
        <w:r>
          <w:rPr>
            <w:lang w:val="ar_AE" w:bidi="ar_AE"/>
          </w:rPr>
          <w:rPr>
            <w:color w:val="0000EE"/>
            <w:u w:val="single"/>
          </w:rPr>
          <w:t>2 أخبار الأيام 34:3–7</w:t>
        </w:r>
      </w:hyperlink>
      <w:r>
        <w:rPr>
          <w:lang w:val="ar_AE" w:bidi="ar_AE"/>
        </w:rPr>
        <w:t>). في السَّنَةِ الثَّامِنَة عشرة من مُلْكِهِ، مَوَّل عمليات ترميم الهيكلِ حتى يَتَمَكَّنَ كهنةُ وشعبُ يَهُوذَا من عبادَةِ الإله الواحد الحقيقي (</w:t>
      </w:r>
      <w:hyperlink r:id="rId18">
        <w:r>
          <w:rPr>
            <w:lang w:val="ar_AE" w:bidi="ar_AE"/>
          </w:rPr>
          <w:rPr>
            <w:color w:val="0000EE"/>
            <w:u w:val="single"/>
          </w:rPr>
          <w:t>2 أخبار الأيام 34:8</w:t>
        </w:r>
      </w:hyperlink>
      <w:r>
        <w:rPr>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lang w:val="ar_AE" w:bidi="ar_AE"/>
        </w:rPr>
      </w:r>
      <w:r>
        <w:rPr>
          <w:lang w:val="ar_AE" w:bidi="ar_AE"/>
        </w:rPr>
        <w:t xml:space="preserve">إن موتَ المَلِك يُوشِيَّا في المعرَكَةِ مع المصريين سنة 609 ق.م (انْظُرْ </w:t>
      </w:r>
      <w:hyperlink r:id="rId19">
        <w:r>
          <w:rPr>
            <w:lang w:val="ar_AE" w:bidi="ar_AE"/>
          </w:rPr>
          <w:rPr>
            <w:color w:val="0000EE"/>
            <w:u w:val="single"/>
          </w:rPr>
          <w:t>2 المُلُوك 23:29</w:t>
        </w:r>
      </w:hyperlink>
      <w:r>
        <w:rPr>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lang w:val="ar_AE" w:bidi="ar_AE"/>
        </w:rPr>
      </w:r>
      <w:r>
        <w:rPr>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lang w:val="ar_AE" w:bidi="ar_AE"/>
        </w:rPr>
      </w:r>
      <w:r>
        <w:rPr>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lang w:val="ar_AE" w:bidi="ar_AE"/>
        </w:rPr>
        <w:t>مُوجَزُ السِّفْرِ</w:t>
      </w:r>
    </w:p>
    <w:p>
      <w:pPr>
        <w:bidi/>
      </w:pPr>
      <w:r>
        <w:rPr>
          <w:lang w:val="ar_AE" w:bidi="ar_AE"/>
        </w:rPr>
      </w:r>
      <w:hyperlink r:id="rId20">
        <w:r>
          <w:rPr>
            <w:lang w:val="ar_AE" w:bidi="ar_AE"/>
          </w:rPr>
          <w:rPr>
            <w:color w:val="0000EE"/>
            <w:u w:val="single"/>
          </w:rPr>
          <w:t>الفصل 1</w:t>
        </w:r>
      </w:hyperlink>
      <w:r>
        <w:rPr>
          <w:lang w:val="ar_AE" w:bidi="ar_AE"/>
        </w:rPr>
        <w:t xml:space="preserve"> (627 ق.م) يُعْلِن كيف اختار الله إِرْمِيَا ليكون نَبِيًّا ورَسُولاً له.</w:t>
      </w:r>
    </w:p>
    <w:p>
      <w:pPr>
        <w:bidi/>
      </w:pPr>
      <w:r>
        <w:rPr>
          <w:lang w:val="ar_AE" w:bidi="ar_AE"/>
        </w:rPr>
      </w:r>
      <w:hyperlink r:id="rId21">
        <w:r>
          <w:rPr>
            <w:lang w:val="ar_AE" w:bidi="ar_AE"/>
          </w:rPr>
          <w:rPr>
            <w:color w:val="0000EE"/>
            <w:u w:val="single"/>
          </w:rPr>
          <w:t>الفصول 2–20</w:t>
        </w:r>
      </w:hyperlink>
      <w:r>
        <w:rPr>
          <w:lang w:val="ar_AE" w:bidi="ar_AE"/>
        </w:rPr>
        <w:t xml:space="preserve"> (627–605 ق.م) </w:t>
      </w:r>
      <w:r>
        <w:rPr>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lang w:val="ar_AE" w:bidi="ar_AE"/>
        </w:rPr>
        <w:t xml:space="preserve"> </w:t>
      </w:r>
      <w:hyperlink r:id="rId22">
        <w:r>
          <w:rPr>
            <w:lang w:val="ar_AE" w:bidi="ar_AE"/>
          </w:rPr>
          <w:rPr>
            <w:color w:val="0000EE"/>
            <w:u w:val="single"/>
          </w:rPr>
          <w:t>الفصول 11–20</w:t>
        </w:r>
      </w:hyperlink>
      <w:r>
        <w:rPr>
          <w:lang w:val="ar_AE" w:bidi="ar_AE"/>
        </w:rPr>
        <w:t xml:space="preserve">، </w:t>
      </w:r>
      <w:r>
        <w:rPr>
          <w:lang w:val="ar_AE" w:bidi="ar_AE"/>
        </w:rPr>
        <w:t>يتعلَّمُ النَّبِيِّ إِرْمِيَا المزيد عن مقاصِدِ الله</w:t>
      </w:r>
      <w:r>
        <w:rPr>
          <w:lang w:val="ar_AE" w:bidi="ar_AE"/>
        </w:rPr>
        <w:t>.</w:t>
      </w:r>
    </w:p>
    <w:p>
      <w:pPr>
        <w:bidi/>
      </w:pPr>
      <w:r>
        <w:rPr>
          <w:lang w:val="ar_AE" w:bidi="ar_AE"/>
        </w:rPr>
      </w:r>
      <w:hyperlink r:id="rId23">
        <w:r>
          <w:rPr>
            <w:lang w:val="ar_AE" w:bidi="ar_AE"/>
          </w:rPr>
          <w:rPr>
            <w:color w:val="0000EE"/>
            <w:u w:val="single"/>
          </w:rPr>
          <w:t>الفصول 21–29</w:t>
        </w:r>
      </w:hyperlink>
      <w:r>
        <w:rPr>
          <w:lang w:val="ar_AE" w:bidi="ar_AE"/>
        </w:rPr>
        <w:t xml:space="preserve"> (605–593 ق.م) </w:t>
      </w:r>
      <w:r>
        <w:rPr>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lang w:val="ar_AE" w:bidi="ar_AE"/>
        </w:rPr>
        <w:t>.</w:t>
      </w:r>
    </w:p>
    <w:p>
      <w:pPr>
        <w:bidi/>
      </w:pPr>
      <w:r>
        <w:rPr>
          <w:lang w:val="ar_AE" w:bidi="ar_AE"/>
        </w:rPr>
      </w:r>
      <w:hyperlink r:id="rId24">
        <w:r>
          <w:rPr>
            <w:lang w:val="ar_AE" w:bidi="ar_AE"/>
          </w:rPr>
          <w:rPr>
            <w:color w:val="0000EE"/>
            <w:u w:val="single"/>
          </w:rPr>
          <w:t>الفصول 30–33</w:t>
        </w:r>
      </w:hyperlink>
      <w:r>
        <w:rPr>
          <w:lang w:val="ar_AE" w:bidi="ar_AE"/>
        </w:rPr>
        <w:t xml:space="preserve"> (596–588 ق.م) </w:t>
      </w:r>
      <w:r>
        <w:rPr>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lang w:val="ar_AE" w:bidi="ar_AE"/>
        </w:rPr>
        <w:t>(</w:t>
      </w:r>
      <w:hyperlink r:id="rId25">
        <w:r>
          <w:rPr>
            <w:lang w:val="ar_AE" w:bidi="ar_AE"/>
          </w:rPr>
          <w:rPr>
            <w:color w:val="0000EE"/>
            <w:u w:val="single"/>
          </w:rPr>
          <w:t>33:15</w:t>
        </w:r>
      </w:hyperlink>
      <w:r>
        <w:rPr>
          <w:lang w:val="ar_AE" w:bidi="ar_AE"/>
        </w:rPr>
        <w:t>) سوف يَأْتِي بالخَلاصِ.</w:t>
      </w:r>
    </w:p>
    <w:p>
      <w:pPr>
        <w:bidi/>
      </w:pPr>
      <w:r>
        <w:rPr>
          <w:lang w:val="ar_AE" w:bidi="ar_AE"/>
        </w:rPr>
      </w:r>
      <w:hyperlink r:id="rId26">
        <w:r>
          <w:rPr>
            <w:lang w:val="ar_AE" w:bidi="ar_AE"/>
          </w:rPr>
          <w:rPr>
            <w:color w:val="0000EE"/>
            <w:u w:val="single"/>
          </w:rPr>
          <w:t>الفصول 34–45</w:t>
        </w:r>
      </w:hyperlink>
      <w:r>
        <w:rPr>
          <w:lang w:val="ar_AE" w:bidi="ar_AE"/>
        </w:rPr>
        <w:t xml:space="preserve"> (605–580 ق.م) تتحدَّث </w:t>
      </w:r>
      <w:r>
        <w:rPr>
          <w:lang w:val="ar_AE" w:bidi="ar_AE"/>
        </w:rPr>
        <w:t>عَن الحِصَارِ البابِلِي لأُورُشَلِيم، اختراقِ أسوارِ المَدِينَةِ، الدَّمَارِ التَّام للهيكَلِ، ولأُورُشَلِيم، ومَمْلَكَةِ يَهُوذَا</w:t>
      </w:r>
      <w:r>
        <w:rPr>
          <w:lang w:val="ar_AE" w:bidi="ar_AE"/>
        </w:rPr>
        <w:t xml:space="preserve">. وتوضِّح </w:t>
      </w:r>
      <w:hyperlink r:id="rId27">
        <w:r>
          <w:rPr>
            <w:lang w:val="ar_AE" w:bidi="ar_AE"/>
          </w:rPr>
          <w:rPr>
            <w:color w:val="0000EE"/>
            <w:u w:val="single"/>
          </w:rPr>
          <w:t>الفصول 34–36</w:t>
        </w:r>
      </w:hyperlink>
      <w:r>
        <w:rPr>
          <w:lang w:val="ar_AE" w:bidi="ar_AE"/>
        </w:rPr>
        <w:t xml:space="preserve"> </w:t>
      </w:r>
      <w:r>
        <w:rPr>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lang w:val="ar_AE" w:bidi="ar_AE"/>
        </w:rPr>
        <w:t xml:space="preserve"> (586–580 ق.م): فقد </w:t>
      </w:r>
      <w:r>
        <w:rPr>
          <w:lang w:val="ar_AE" w:bidi="ar_AE"/>
        </w:rPr>
        <w:t>تمَّ اغتيالُهُ، أما الشعبُ المتبقِّي من يَهُوذَا فقد هَرَبَ إلى مِصْر على الرُّغْم من تحذيرِ النَّبِيِّ له بِعَدَمِ الذِّهابِ إلى هناك</w:t>
      </w:r>
      <w:r>
        <w:rPr>
          <w:lang w:val="ar_AE" w:bidi="ar_AE"/>
        </w:rPr>
        <w:t>.</w:t>
      </w:r>
    </w:p>
    <w:p>
      <w:pPr>
        <w:bidi/>
      </w:pPr>
      <w:r>
        <w:rPr>
          <w:lang w:val="ar_AE" w:bidi="ar_AE"/>
        </w:rPr>
      </w:r>
      <w:hyperlink r:id="rId28">
        <w:r>
          <w:rPr>
            <w:lang w:val="ar_AE" w:bidi="ar_AE"/>
          </w:rPr>
          <w:rPr>
            <w:color w:val="0000EE"/>
            <w:u w:val="single"/>
          </w:rPr>
          <w:t>الفصول 46–51</w:t>
        </w:r>
      </w:hyperlink>
      <w:r>
        <w:rPr>
          <w:lang w:val="ar_AE" w:bidi="ar_AE"/>
        </w:rPr>
        <w:t xml:space="preserve"> (605–593 ق.م) </w:t>
      </w:r>
      <w:r>
        <w:rPr>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lang w:val="ar_AE" w:bidi="ar_AE"/>
        </w:rPr>
        <w:t>. تقدِّم هذه المقتطفات وَعْدًا لبعضِ الأممِ بعونٍ إلهيٍّ في المستقْبَلِ، مع وَعْدٍ لإسْرَائِيلِ بالخلاصِ من السَّبي واسترْداد أرضِ الموعدِ.</w:t>
      </w:r>
    </w:p>
    <w:p>
      <w:pPr>
        <w:bidi/>
      </w:pPr>
      <w:r>
        <w:rPr>
          <w:lang w:val="ar_AE" w:bidi="ar_AE"/>
        </w:rPr>
      </w:r>
      <w:hyperlink r:id="rId29">
        <w:r>
          <w:rPr>
            <w:lang w:val="ar_AE" w:bidi="ar_AE"/>
          </w:rPr>
          <w:rPr>
            <w:color w:val="0000EE"/>
            <w:u w:val="single"/>
          </w:rPr>
          <w:t>الفصل 52</w:t>
        </w:r>
      </w:hyperlink>
      <w:r>
        <w:rPr>
          <w:lang w:val="ar_AE" w:bidi="ar_AE"/>
        </w:rPr>
        <w:t xml:space="preserve"> (586–561 ق.م) يَصِفُ الأيام الأخيرة لأُورُشَلِيم، ويكرِّر بشكلٍ أساسيٍّ ما وَرَدَ في </w:t>
      </w:r>
      <w:hyperlink r:id="rId30">
        <w:r>
          <w:rPr>
            <w:lang w:val="ar_AE" w:bidi="ar_AE"/>
          </w:rPr>
          <w:rPr>
            <w:color w:val="0000EE"/>
            <w:u w:val="single"/>
          </w:rPr>
          <w:t>المُلُوك الثاني 24:18–25:30</w:t>
        </w:r>
      </w:hyperlink>
      <w:r>
        <w:rPr>
          <w:lang w:val="ar_AE" w:bidi="ar_AE"/>
        </w:rPr>
        <w:t>.</w:t>
      </w:r>
    </w:p>
    <w:p>
      <w:pPr>
        <w:pStyle w:val="Heading4"/>
        <w:bidi/>
      </w:pPr>
      <w:r>
        <w:rPr>
          <w:lang w:val="ar_AE" w:bidi="ar_AE"/>
        </w:rPr>
        <w:t>كِتَابَةُ وتَارِيخُ السِّفْرِ</w:t>
      </w:r>
    </w:p>
    <w:p>
      <w:pPr>
        <w:bidi/>
      </w:pPr>
      <w:r>
        <w:rPr>
          <w:lang w:val="ar_AE" w:bidi="ar_AE"/>
        </w:rPr>
      </w:r>
      <w:r>
        <w:rPr>
          <w:lang w:val="ar_AE" w:bidi="ar_AE"/>
        </w:rPr>
        <w:t>في السَّنَةِ الرَّابِعَة لحُكْمِ المَلِكِ يَهُوياقِيم</w:t>
      </w:r>
      <w:r>
        <w:rPr>
          <w:lang w:val="ar_AE" w:bidi="ar_AE"/>
        </w:rPr>
        <w:t xml:space="preserve"> (605 ق.م)، </w:t>
      </w:r>
      <w:r>
        <w:rPr>
          <w:lang w:val="ar_AE" w:bidi="ar_AE"/>
        </w:rPr>
        <w:t>أَمْلَى النَّبِيُّ إِرْمِيا سلسلةَ من الرَّسَائِل على بَارُوخ الكاتِبِ، الذي بِدَورِهِ كَتَبَها على دَرْجٍ أُرْسِلَ في النِّهايَةِ إلى المَلِكِ</w:t>
      </w:r>
      <w:r>
        <w:rPr>
          <w:lang w:val="ar_AE" w:bidi="ar_AE"/>
        </w:rPr>
        <w:t xml:space="preserve"> (</w:t>
      </w:r>
      <w:hyperlink r:id="rId31">
        <w:r>
          <w:rPr>
            <w:lang w:val="ar_AE" w:bidi="ar_AE"/>
          </w:rPr>
          <w:rPr>
            <w:color w:val="0000EE"/>
            <w:u w:val="single"/>
          </w:rPr>
          <w:t>إرميا 36:1–26</w:t>
        </w:r>
      </w:hyperlink>
      <w:r>
        <w:rPr>
          <w:lang w:val="ar_AE" w:bidi="ar_AE"/>
        </w:rPr>
        <w:t xml:space="preserve">). </w:t>
      </w:r>
      <w:r>
        <w:rPr>
          <w:lang w:val="ar_AE" w:bidi="ar_AE"/>
        </w:rPr>
        <w:t xml:space="preserve">قامَ المَلِكُ بإحراق الدَّرْجِ، ولكن أعاد النَّبِيُّ إِرْمِيا وبَارُوخ كِتابَة كلام الدَّرْجِ، "وَزِيدَ عَلَيْهِ أَيْضًا كَلَامٌ كَثِيرٌ مِثْلُهُ" </w:t>
      </w:r>
      <w:r>
        <w:rPr>
          <w:lang w:val="ar_AE" w:bidi="ar_AE"/>
        </w:rPr>
        <w:t>(</w:t>
      </w:r>
      <w:hyperlink r:id="rId32">
        <w:r>
          <w:rPr>
            <w:lang w:val="ar_AE" w:bidi="ar_AE"/>
          </w:rPr>
          <w:rPr>
            <w:color w:val="0000EE"/>
            <w:u w:val="single"/>
          </w:rPr>
          <w:t>36:32</w:t>
        </w:r>
      </w:hyperlink>
      <w:r>
        <w:rPr>
          <w:lang w:val="ar_AE" w:bidi="ar_AE"/>
        </w:rPr>
        <w:t xml:space="preserve">). </w:t>
      </w:r>
      <w:r>
        <w:rPr>
          <w:lang w:val="ar_AE" w:bidi="ar_AE"/>
        </w:rPr>
        <w:t>من المحتملِ أن محتوَى هذا الدَّرْجِ يشكِّلُ الفصول</w:t>
      </w:r>
      <w:r>
        <w:rPr>
          <w:lang w:val="ar_AE" w:bidi="ar_AE"/>
        </w:rPr>
        <w:t xml:space="preserve"> </w:t>
      </w:r>
      <w:hyperlink r:id="rId21">
        <w:r>
          <w:rPr>
            <w:lang w:val="ar_AE" w:bidi="ar_AE"/>
          </w:rPr>
          <w:rPr>
            <w:color w:val="0000EE"/>
            <w:u w:val="single"/>
          </w:rPr>
          <w:t>2–20</w:t>
        </w:r>
      </w:hyperlink>
      <w:r>
        <w:rPr>
          <w:lang w:val="ar_AE" w:bidi="ar_AE"/>
        </w:rPr>
        <w:t xml:space="preserve">. </w:t>
      </w:r>
      <w:r>
        <w:rPr>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lang w:val="ar_AE" w:bidi="ar_AE"/>
        </w:rPr>
        <w:t>.</w:t>
      </w:r>
    </w:p>
    <w:p>
      <w:pPr>
        <w:pStyle w:val="Heading4"/>
        <w:bidi/>
      </w:pPr>
      <w:r>
        <w:rPr>
          <w:lang w:val="ar_AE" w:bidi="ar_AE"/>
        </w:rPr>
        <w:t>مخطوطاتُ السِّفْرِ</w:t>
      </w:r>
    </w:p>
    <w:p>
      <w:pPr>
        <w:bidi/>
      </w:pPr>
      <w:r>
        <w:rPr>
          <w:lang w:val="ar_AE" w:bidi="ar_AE"/>
        </w:rPr>
      </w:r>
      <w:r>
        <w:rPr>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lang w:val="ar_AE" w:bidi="ar_AE"/>
        </w:rPr>
        <w:t>السِّماتُ الأَدَبِيَّةُ</w:t>
      </w:r>
    </w:p>
    <w:p>
      <w:pPr>
        <w:bidi/>
      </w:pPr>
      <w:r>
        <w:rPr>
          <w:lang w:val="ar_AE" w:bidi="ar_AE"/>
        </w:rPr>
      </w:r>
      <w:r>
        <w:rPr>
          <w:b/>
          <w:lang w:val="ar_AE" w:bidi="ar_AE"/>
        </w:rPr>
        <w:t xml:space="preserve">نِظَامُ المُرَاسَلَةِ: </w:t>
      </w:r>
      <w:r>
        <w:rPr>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hyperlink r:id="rId33">
        <w:r>
          <w:rPr>
            <w:lang w:val="ar_AE" w:bidi="ar_AE"/>
          </w:rPr>
          <w:rPr>
            <w:color w:val="0000EE"/>
            <w:u w:val="single"/>
          </w:rPr>
          <w:t>2 صموئيل 10:1–19</w:t>
        </w:r>
      </w:hyperlink>
      <w:r>
        <w:rPr>
          <w:lang w:val="ar_AE" w:bidi="ar_AE"/>
        </w:rPr>
        <w:t>). كان يَتَعَيَّن على الرُّسُل العَودَةُ إلى مَلِكِهم، الذي يقرِّرُ طريقةَ الرَّدِّ.</w:t>
      </w:r>
    </w:p>
    <w:p>
      <w:pPr>
        <w:bidi/>
      </w:pPr>
      <w:r>
        <w:rPr>
          <w:lang w:val="ar_AE" w:bidi="ar_AE"/>
        </w:rPr>
      </w:r>
      <w:r>
        <w:rPr>
          <w:b/>
          <w:lang w:val="ar_AE" w:bidi="ar_AE"/>
        </w:rPr>
        <w:t xml:space="preserve">الإِطارُ القَضَائِيُّ: </w:t>
      </w:r>
      <w:r>
        <w:rPr>
          <w:lang w:val="ar_AE" w:bidi="ar_AE"/>
        </w:rPr>
        <w:t>الكثيرُ من الرَّسَائِلِ في سِفْرِ إِرْمِيَا تتسمُ بإطارٍ قضائيٍّ ومفرداتٍ قانونيَّةٍ. الأجواء الخاصة بساحةِ القضاءِ مقدَّمَةٌ في بدايات السِّفْرِ بالقولِ:</w:t>
      </w:r>
      <w:r>
        <w:rPr>
          <w:lang w:val="ar_AE" w:bidi="ar_AE"/>
        </w:rPr>
        <w:t xml:space="preserve"> "</w:t>
      </w:r>
      <w:r>
        <w:rPr>
          <w:lang w:val="ar_AE" w:bidi="ar_AE"/>
        </w:rPr>
        <w:t>لِذَلِكَ أُخَاصِمُكُمْ بَعْدُ، يَقُولُ ٱلرَّبُّ، وَبَنِي بَنِيكُمْ أُخَاصِمُ"</w:t>
      </w:r>
      <w:r>
        <w:rPr>
          <w:lang w:val="ar_AE" w:bidi="ar_AE"/>
        </w:rPr>
        <w:t xml:space="preserve"> (</w:t>
      </w:r>
      <w:hyperlink r:id="rId34">
        <w:r>
          <w:rPr>
            <w:lang w:val="ar_AE" w:bidi="ar_AE"/>
          </w:rPr>
          <w:rPr>
            <w:color w:val="0000EE"/>
            <w:u w:val="single"/>
          </w:rPr>
          <w:t>إِرْمِيَا 2:9</w:t>
        </w:r>
      </w:hyperlink>
      <w:r>
        <w:rPr>
          <w:lang w:val="ar_AE" w:bidi="ar_AE"/>
        </w:rPr>
        <w:t xml:space="preserve">). </w:t>
      </w:r>
      <w:r>
        <w:rPr>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lang w:val="ar_AE" w:bidi="ar_AE"/>
        </w:rPr>
        <w:t>.</w:t>
      </w:r>
    </w:p>
    <w:p>
      <w:pPr>
        <w:bidi/>
      </w:pPr>
      <w:r>
        <w:rPr>
          <w:lang w:val="ar_AE" w:bidi="ar_AE"/>
        </w:rPr>
      </w:r>
      <w:r>
        <w:rPr>
          <w:b/>
          <w:lang w:val="ar_AE" w:bidi="ar_AE"/>
        </w:rPr>
        <w:t xml:space="preserve">السَّرْدُ الرُّوائيُّ: </w:t>
      </w:r>
      <w:r>
        <w:rPr>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lang w:val="ar_AE" w:bidi="ar_AE"/>
        </w:rPr>
        <w:t>(</w:t>
      </w:r>
      <w:hyperlink r:id="rId35">
        <w:r>
          <w:rPr>
            <w:lang w:val="ar_AE" w:bidi="ar_AE"/>
          </w:rPr>
          <w:rPr>
            <w:color w:val="0000EE"/>
            <w:u w:val="single"/>
          </w:rPr>
          <w:t>إِرْمِيَا 10:1–16</w:t>
        </w:r>
      </w:hyperlink>
      <w:r>
        <w:rPr>
          <w:lang w:val="ar_AE" w:bidi="ar_AE"/>
        </w:rPr>
        <w:t>)، يُظْهِرُ النَّبِيُّ حماقةَ الوثنيةَ مقارنةً بسُمُوِّ، ومَجْدِ، وطُهْرِ، وقُدْرَةِ إلهِ إِسْرائِيل.</w:t>
      </w:r>
    </w:p>
    <w:p>
      <w:pPr>
        <w:bidi/>
      </w:pPr>
      <w:r>
        <w:rPr>
          <w:lang w:val="ar_AE" w:bidi="ar_AE"/>
        </w:rPr>
      </w:r>
      <w:r>
        <w:rPr>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lang w:val="ar_AE" w:bidi="ar_AE"/>
        </w:rPr>
        <w:t xml:space="preserve">، </w:t>
      </w:r>
      <w:r>
        <w:rPr>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lang w:val="ar_AE" w:bidi="ar_AE"/>
        </w:rPr>
        <w:t>.</w:t>
      </w:r>
    </w:p>
    <w:p>
      <w:pPr>
        <w:bidi/>
      </w:pPr>
      <w:r>
        <w:rPr>
          <w:lang w:val="ar_AE" w:bidi="ar_AE"/>
        </w:rPr>
      </w:r>
      <w:r>
        <w:rPr>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lang w:val="ar_AE" w:bidi="ar_AE"/>
        </w:rPr>
        <w:t>.</w:t>
      </w:r>
    </w:p>
    <w:p>
      <w:pPr>
        <w:bidi/>
      </w:pPr>
      <w:r>
        <w:rPr>
          <w:lang w:val="ar_AE" w:bidi="ar_AE"/>
        </w:rPr>
      </w:r>
      <w:r>
        <w:rPr>
          <w:lang w:val="ar_AE" w:bidi="ar_AE"/>
        </w:rPr>
        <w:t>إن أوضَحَ وَصْفٍ لِرَحْمةِ الله موجودٌ في الفصولِ</w:t>
      </w:r>
      <w:r>
        <w:rPr>
          <w:lang w:val="ar_AE" w:bidi="ar_AE"/>
        </w:rPr>
        <w:t xml:space="preserve"> </w:t>
      </w:r>
      <w:hyperlink r:id="rId24">
        <w:r>
          <w:rPr>
            <w:lang w:val="ar_AE" w:bidi="ar_AE"/>
          </w:rPr>
          <w:rPr>
            <w:color w:val="0000EE"/>
            <w:u w:val="single"/>
          </w:rPr>
          <w:t>30–33</w:t>
        </w:r>
      </w:hyperlink>
      <w:r>
        <w:rPr>
          <w:lang w:val="ar_AE" w:bidi="ar_AE"/>
        </w:rPr>
        <w:t xml:space="preserve">، </w:t>
      </w:r>
      <w:r>
        <w:rPr>
          <w:lang w:val="ar_AE" w:bidi="ar_AE"/>
        </w:rPr>
        <w:t>التي تُقَدِّمُ وَعْدًا بِعَهْدٍ جَدِيدٍ ومَلِكٍ جَدِيدٍ. وبدلاً من الاقتلاعِ والهدمِ، سيقومُ الله بالغرسِ والبنا</w:t>
      </w:r>
      <w:r>
        <w:rPr>
          <w:lang w:val="ar_AE" w:bidi="ar_AE"/>
        </w:rPr>
        <w:t>ءِ (</w:t>
      </w:r>
      <w:hyperlink r:id="rId36">
        <w:r>
          <w:rPr>
            <w:lang w:val="ar_AE" w:bidi="ar_AE"/>
          </w:rPr>
          <w:rPr>
            <w:color w:val="0000EE"/>
            <w:u w:val="single"/>
          </w:rPr>
          <w:t>1:10</w:t>
        </w:r>
      </w:hyperlink>
      <w:r>
        <w:rPr>
          <w:lang w:val="ar_AE" w:bidi="ar_AE"/>
        </w:rPr>
        <w:t xml:space="preserve">; </w:t>
      </w:r>
      <w:hyperlink r:id="rId37">
        <w:r>
          <w:rPr>
            <w:lang w:val="ar_AE" w:bidi="ar_AE"/>
          </w:rPr>
          <w:rPr>
            <w:color w:val="0000EE"/>
            <w:u w:val="single"/>
          </w:rPr>
          <w:t>31:28</w:t>
        </w:r>
      </w:hyperlink>
      <w:r>
        <w:rPr>
          <w:lang w:val="ar_AE" w:bidi="ar_AE"/>
        </w:rPr>
        <w:t xml:space="preserve">). </w:t>
      </w:r>
      <w:r>
        <w:rPr>
          <w:lang w:val="ar_AE" w:bidi="ar_AE"/>
        </w:rPr>
        <w:t>ومع ذلك، لم يَتُبْ إلا القليل من الشَّعْبِ في زمنِ النَّبِيُّ إِرْمِيَا</w:t>
      </w:r>
      <w:r>
        <w:rPr>
          <w:lang w:val="ar_AE" w:bidi="ar_AE"/>
        </w:rPr>
        <w:t>.</w:t>
      </w:r>
    </w:p>
    <w:p>
      <w:pPr>
        <w:bidi/>
      </w:pPr>
      <w:r>
        <w:rPr>
          <w:lang w:val="ar_AE" w:bidi="ar_AE"/>
        </w:rPr>
      </w:r>
      <w:r>
        <w:rPr>
          <w:lang w:val="ar_AE" w:bidi="ar_AE"/>
        </w:rPr>
        <w:t xml:space="preserve">في كلِّ هذا، اخْتَبَرَ النَّبِيُّ إِرْمِيَا تَوتُّرًا شديدًا بين التكليفِ الإلهي له </w:t>
      </w:r>
      <w:r>
        <w:rPr>
          <w:lang w:val="ar_AE" w:bidi="ar_AE"/>
        </w:rPr>
        <w:t>(</w:t>
      </w:r>
      <w:hyperlink r:id="rId38">
        <w:r>
          <w:rPr>
            <w:lang w:val="ar_AE" w:bidi="ar_AE"/>
          </w:rPr>
          <w:rPr>
            <w:color w:val="0000EE"/>
            <w:u w:val="single"/>
          </w:rPr>
          <w:t>1:17–19</w:t>
        </w:r>
      </w:hyperlink>
      <w:r>
        <w:rPr>
          <w:lang w:val="ar_AE" w:bidi="ar_AE"/>
        </w:rPr>
        <w:t xml:space="preserve">) </w:t>
      </w:r>
      <w:r>
        <w:rPr>
          <w:lang w:val="ar_AE" w:bidi="ar_AE"/>
        </w:rPr>
        <w:t>وبين رغباتِهِ. كان التكليفُ: "اذْهَبْ، وكَلِّمْهم" في حين رَغِبَ النَّبِيُّ في الاحتفاظ بالسلام مع أقربائه (انْظُرْ</w:t>
      </w:r>
      <w:r>
        <w:rPr>
          <w:lang w:val="ar_AE" w:bidi="ar_AE"/>
        </w:rPr>
        <w:t xml:space="preserve"> </w:t>
      </w:r>
      <w:hyperlink r:id="rId39">
        <w:r>
          <w:rPr>
            <w:lang w:val="ar_AE" w:bidi="ar_AE"/>
          </w:rPr>
          <w:rPr>
            <w:color w:val="0000EE"/>
            <w:u w:val="single"/>
          </w:rPr>
          <w:t>20:8–9</w:t>
        </w:r>
      </w:hyperlink>
      <w:r>
        <w:rPr>
          <w:lang w:val="ar_AE" w:bidi="ar_AE"/>
        </w:rPr>
        <w:t xml:space="preserve">). </w:t>
      </w:r>
      <w:r>
        <w:rPr>
          <w:lang w:val="ar_AE" w:bidi="ar_AE"/>
        </w:rPr>
        <w:t xml:space="preserve">لقد شَعَرَ النَّبِيُّ إِرْمِيَا بالتضامن العميق مع شعْبِهِ، إن الدمارَ ورَسَائِلَ الدينونةِ الرهيبةِ، التي دُعِيَ </w:t>
      </w:r>
      <w:r>
        <w:rPr>
          <w:lang w:val="ar_AE" w:bidi="ar_AE"/>
        </w:rPr>
        <w:t xml:space="preserve">النَّبِيُّ </w:t>
      </w:r>
      <w:r>
        <w:rPr>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lang w:val="ar_AE" w:bidi="ar_AE"/>
        </w:rPr>
        <w:t xml:space="preserve"> (</w:t>
      </w:r>
      <w:hyperlink r:id="rId40">
        <w:r>
          <w:rPr>
            <w:lang w:val="ar_AE" w:bidi="ar_AE"/>
          </w:rPr>
          <w:rPr>
            <w:color w:val="0000EE"/>
            <w:u w:val="single"/>
          </w:rPr>
          <w:t>15:16–18</w:t>
        </w:r>
      </w:hyperlink>
      <w:r>
        <w:rPr>
          <w:lang w:val="ar_AE" w:bidi="ar_AE"/>
        </w:rPr>
        <w:t xml:space="preserve">; قارن </w:t>
      </w:r>
      <w:hyperlink r:id="rId41">
        <w:r>
          <w:rPr>
            <w:lang w:val="ar_AE" w:bidi="ar_AE"/>
          </w:rPr>
          <w:rPr>
            <w:color w:val="0000EE"/>
            <w:u w:val="single"/>
          </w:rPr>
          <w:t>مَتَّى 26:36–42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