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lang w:val="ar_AE" w:bidi="ar_AE"/>
        </w:rPr>
        <w:t>أحداث وخلفية السِفر</w:t>
      </w:r>
    </w:p>
    <w:p>
      <w:pPr>
        <w:bidi/>
      </w:pPr>
      <w:r>
        <w:rPr>
          <w:lang w:val="ar_AE" w:bidi="ar_AE"/>
        </w:rPr>
      </w:r>
      <w:r>
        <w:rPr>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lang w:val="ar_AE" w:bidi="ar_AE"/>
        </w:rPr>
      </w:r>
      <w:r>
        <w:rPr>
          <w:lang w:val="ar_AE" w:bidi="ar_AE"/>
        </w:rPr>
        <w:t xml:space="preserve">في وقتٍ يحوطه الخطر كهذا، كان من الطبيعي أن يتساءل شعب يهوذا وأورشليم عن عدالة الله ورحمته. </w:t>
      </w:r>
      <w:r>
        <w:rPr>
          <w:i/>
          <w:lang w:val="ar_AE" w:bidi="ar_AE"/>
        </w:rPr>
        <w:t>هل لله حقًا سلطان على السماء والأرض؟ هل هو صالح؟</w:t>
      </w:r>
      <w:r>
        <w:rPr>
          <w:lang w:val="ar_AE" w:bidi="ar_AE"/>
        </w:rPr>
        <w:t xml:space="preserve"> كما تأملوا في خطاياهم ومسؤوليتهم الأخلاقية تجاه الوباء. </w:t>
      </w:r>
      <w:r>
        <w:rPr>
          <w:i/>
          <w:lang w:val="ar_AE" w:bidi="ar_AE"/>
        </w:rPr>
        <w:t>هل أرسل ٱلله وباء الجراد ليعاقبنا على فشلنا في الحفاظ على عَلاقة صحيحة به؟ هل يرحمنا ٱلله؟ هل لدينا مستقبل؟</w:t>
      </w:r>
      <w:r>
        <w:rPr>
          <w:lang w:val="ar_AE" w:bidi="ar_AE"/>
        </w:rPr>
        <w:t xml:space="preserve"> استجابة لهذه الأسئلة، قدَّم يوئيل النبي كلمة ٱلرّبّ لشعبه.</w:t>
      </w:r>
    </w:p>
    <w:p>
      <w:pPr>
        <w:pStyle w:val="Heading2"/>
        <w:bidi/>
      </w:pPr>
      <w:r>
        <w:rPr>
          <w:lang w:val="ar_AE" w:bidi="ar_AE"/>
        </w:rPr>
        <w:t>الخُلاصة</w:t>
      </w:r>
    </w:p>
    <w:p>
      <w:pPr>
        <w:bidi/>
      </w:pPr>
      <w:r>
        <w:rPr>
          <w:lang w:val="ar_AE" w:bidi="ar_AE"/>
        </w:rPr>
      </w:r>
      <w:r>
        <w:rPr>
          <w:lang w:val="ar_AE" w:bidi="ar_AE"/>
        </w:rPr>
        <w:t>يتكون سِفر يوئيل من جزأيْن متساويَين تقريبًا. في القسم الأول (</w:t>
      </w:r>
      <w:hyperlink r:id="rId13">
        <w:r>
          <w:rPr>
            <w:lang w:val="ar_AE" w:bidi="ar_AE"/>
          </w:rPr>
          <w:rPr>
            <w:color w:val="0000EE"/>
            <w:u w:val="single"/>
          </w:rPr>
          <w:t>1:1–2:17</w:t>
        </w:r>
      </w:hyperlink>
      <w:r>
        <w:rPr>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hyperlink r:id="rId14">
        <w:r>
          <w:rPr>
            <w:lang w:val="ar_AE" w:bidi="ar_AE"/>
          </w:rPr>
          <w:rPr>
            <w:color w:val="0000EE"/>
            <w:u w:val="single"/>
          </w:rPr>
          <w:t>2:12–17</w:t>
        </w:r>
      </w:hyperlink>
      <w:r>
        <w:rPr>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lang w:val="ar_AE" w:bidi="ar_AE"/>
        </w:rPr>
      </w:r>
      <w:r>
        <w:rPr>
          <w:lang w:val="ar_AE" w:bidi="ar_AE"/>
        </w:rPr>
        <w:t>في الجزء الثاني من السِفر (</w:t>
      </w:r>
      <w:hyperlink r:id="rId15">
        <w:r>
          <w:rPr>
            <w:lang w:val="ar_AE" w:bidi="ar_AE"/>
          </w:rPr>
          <w:rPr>
            <w:color w:val="0000EE"/>
            <w:u w:val="single"/>
          </w:rPr>
          <w:t>2:18–3:21</w:t>
        </w:r>
      </w:hyperlink>
      <w:r>
        <w:rPr>
          <w:lang w:val="ar_AE" w:bidi="ar_AE"/>
        </w:rPr>
        <w:t xml:space="preserve">)، يعِد ٱلرَّب برحمة شعبه واستعادة أرضهم بعد غزو الجراد. في </w:t>
      </w:r>
      <w:hyperlink r:id="rId16">
        <w:r>
          <w:rPr>
            <w:lang w:val="ar_AE" w:bidi="ar_AE"/>
          </w:rPr>
          <w:rPr>
            <w:color w:val="0000EE"/>
            <w:u w:val="single"/>
          </w:rPr>
          <w:t>2:18–27</w:t>
        </w:r>
      </w:hyperlink>
      <w:r>
        <w:rPr>
          <w:lang w:val="ar_AE" w:bidi="ar_AE"/>
        </w:rPr>
        <w:t xml:space="preserve">، يصف يوئيل كيف سيعيد ٱلله حياتهم المادية في المستقبل القريب ويُجدد حقولهم وبساتينهم وكرومهم وقطعانهم. في </w:t>
      </w:r>
      <w:hyperlink r:id="rId17">
        <w:r>
          <w:rPr>
            <w:lang w:val="ar_AE" w:bidi="ar_AE"/>
          </w:rPr>
          <w:rPr>
            <w:color w:val="0000EE"/>
            <w:u w:val="single"/>
          </w:rPr>
          <w:t>2:28–3:21</w:t>
        </w:r>
      </w:hyperlink>
      <w:r>
        <w:rPr>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lang w:val="ar_AE" w:bidi="ar_AE"/>
        </w:rPr>
        <w:t>تاريخ الكتابة</w:t>
      </w:r>
    </w:p>
    <w:p>
      <w:pPr>
        <w:bidi/>
      </w:pPr>
      <w:r>
        <w:rPr>
          <w:lang w:val="ar_AE" w:bidi="ar_AE"/>
        </w:rPr>
      </w:r>
      <w:r>
        <w:rPr>
          <w:lang w:val="ar_AE" w:bidi="ar_AE"/>
        </w:rPr>
        <w:t xml:space="preserve">لا نعرف متى عاش النبي يوئيل وتنبأ. لا يذكر يوئيل الملوك الذين خدَم في عهدهم (قارن، مثلًا، </w:t>
      </w:r>
      <w:hyperlink r:id="rId18">
        <w:r>
          <w:rPr>
            <w:lang w:val="ar_AE" w:bidi="ar_AE"/>
          </w:rPr>
          <w:rPr>
            <w:color w:val="0000EE"/>
            <w:u w:val="single"/>
          </w:rPr>
          <w:t>عاموس 1:1</w:t>
        </w:r>
      </w:hyperlink>
      <w:r>
        <w:rPr>
          <w:lang w:val="ar_AE" w:bidi="ar_AE"/>
        </w:rPr>
        <w:t xml:space="preserve">؛ </w:t>
      </w:r>
      <w:hyperlink r:id="rId19">
        <w:r>
          <w:rPr>
            <w:lang w:val="ar_AE" w:bidi="ar_AE"/>
          </w:rPr>
          <w:rPr>
            <w:color w:val="0000EE"/>
            <w:u w:val="single"/>
          </w:rPr>
          <w:t>ميخا 1:1</w:t>
        </w:r>
      </w:hyperlink>
      <w:r>
        <w:rPr>
          <w:lang w:val="ar_AE" w:bidi="ar_AE"/>
        </w:rPr>
        <w:t>) ولا يقدم أية معلومات تاريخية واضحة أخرى. لهذا السبب، اقترح العلماء تواريخ مختلفة عدّة ليوئيل.</w:t>
      </w:r>
    </w:p>
    <w:p>
      <w:pPr>
        <w:bidi/>
      </w:pPr>
      <w:r>
        <w:rPr>
          <w:lang w:val="ar_AE" w:bidi="ar_AE"/>
        </w:rPr>
      </w:r>
      <w:r>
        <w:rPr>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hyperlink r:id="rId20">
        <w:r>
          <w:rPr>
            <w:lang w:val="ar_AE" w:bidi="ar_AE"/>
          </w:rPr>
          <w:rPr>
            <w:color w:val="0000EE"/>
            <w:u w:val="single"/>
          </w:rPr>
          <w:t>يوئيل 2:17</w:t>
        </w:r>
      </w:hyperlink>
      <w:r>
        <w:rPr>
          <w:lang w:val="ar_AE" w:bidi="ar_AE"/>
        </w:rPr>
        <w:t xml:space="preserve">؛ انظر أيضًا </w:t>
      </w:r>
      <w:hyperlink r:id="rId21">
        <w:r>
          <w:rPr>
            <w:lang w:val="ar_AE" w:bidi="ar_AE"/>
          </w:rPr>
          <w:rPr>
            <w:color w:val="0000EE"/>
            <w:u w:val="single"/>
          </w:rPr>
          <w:t>2 ملوك 12:1–21</w:t>
        </w:r>
      </w:hyperlink>
      <w:r>
        <w:rPr>
          <w:lang w:val="ar_AE" w:bidi="ar_AE"/>
        </w:rPr>
        <w:t>).</w:t>
      </w:r>
    </w:p>
    <w:p>
      <w:pPr>
        <w:bidi/>
      </w:pPr>
      <w:r>
        <w:rPr>
          <w:lang w:val="ar_AE" w:bidi="ar_AE"/>
        </w:rPr>
      </w:r>
      <w:r>
        <w:rPr>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lang w:val="ar_AE" w:bidi="ar_AE"/>
        </w:rPr>
      </w:r>
      <w:r>
        <w:rPr>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lang w:val="ar_AE" w:bidi="ar_AE"/>
        </w:rPr>
      </w:r>
      <w:r>
        <w:rPr>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lang w:val="ar_AE" w:bidi="ar_AE"/>
        </w:rPr>
        <w:t>المعنى والرسالة</w:t>
      </w:r>
    </w:p>
    <w:p>
      <w:pPr>
        <w:bidi/>
      </w:pPr>
      <w:r>
        <w:rPr>
          <w:lang w:val="ar_AE" w:bidi="ar_AE"/>
        </w:rPr>
      </w:r>
      <w:r>
        <w:rPr>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hyperlink r:id="rId22">
        <w:r>
          <w:rPr>
            <w:lang w:val="ar_AE" w:bidi="ar_AE"/>
          </w:rPr>
          <w:rPr>
            <w:color w:val="0000EE"/>
            <w:u w:val="single"/>
          </w:rPr>
          <w:t>2:11</w:t>
        </w:r>
      </w:hyperlink>
      <w:r>
        <w:rPr>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lang w:val="ar_AE" w:bidi="ar_AE"/>
        </w:rPr>
      </w:r>
      <w:r>
        <w:rPr>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hyperlink r:id="rId23">
        <w:r>
          <w:rPr>
            <w:lang w:val="ar_AE" w:bidi="ar_AE"/>
          </w:rPr>
          <w:rPr>
            <w:color w:val="0000EE"/>
            <w:u w:val="single"/>
          </w:rPr>
          <w:t>خروج 34:6–7</w:t>
        </w:r>
      </w:hyperlink>
      <w:r>
        <w:rPr>
          <w:lang w:val="ar_AE" w:bidi="ar_AE"/>
        </w:rPr>
        <w:t>)، يوجِّه يوئيل دعوة الله الكريمة للإسرائيليين: "ارجعوا إلى الرب إلهكم، لأنه رحيم ورؤوف، بطيء الغضب وممتلئ بالمحبة التي لا تفشل" (</w:t>
      </w:r>
      <w:hyperlink r:id="rId24">
        <w:r>
          <w:rPr>
            <w:lang w:val="ar_AE" w:bidi="ar_AE"/>
          </w:rPr>
          <w:rPr>
            <w:color w:val="0000EE"/>
            <w:u w:val="single"/>
          </w:rPr>
          <w:t>يوئيل 2:13</w:t>
        </w:r>
      </w:hyperlink>
      <w:r>
        <w:rPr>
          <w:lang w:val="ar_AE" w:bidi="ar_AE"/>
        </w:rPr>
        <w:t>).</w:t>
      </w:r>
    </w:p>
    <w:p>
      <w:pPr>
        <w:bidi/>
      </w:pPr>
      <w:r>
        <w:rPr>
          <w:lang w:val="ar_AE" w:bidi="ar_AE"/>
        </w:rPr>
      </w:r>
      <w:r>
        <w:rPr>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hyperlink r:id="rId25">
        <w:r>
          <w:rPr>
            <w:lang w:val="ar_AE" w:bidi="ar_AE"/>
          </w:rPr>
          <w:rPr>
            <w:color w:val="0000EE"/>
            <w:u w:val="single"/>
          </w:rPr>
          <w:t>إشعياء 1:10–18</w:t>
        </w:r>
      </w:hyperlink>
      <w:r>
        <w:rPr>
          <w:lang w:val="ar_AE" w:bidi="ar_AE"/>
        </w:rPr>
        <w:t xml:space="preserve">؛ </w:t>
      </w:r>
      <w:hyperlink r:id="rId26">
        <w:r>
          <w:rPr>
            <w:lang w:val="ar_AE" w:bidi="ar_AE"/>
          </w:rPr>
          <w:rPr>
            <w:color w:val="0000EE"/>
            <w:u w:val="single"/>
          </w:rPr>
          <w:t>عاموس 5:21–24</w:t>
        </w:r>
      </w:hyperlink>
      <w:r>
        <w:rPr>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hyperlink r:id="rId24">
        <w:r>
          <w:rPr>
            <w:lang w:val="ar_AE" w:bidi="ar_AE"/>
          </w:rPr>
          <w:rPr>
            <w:color w:val="0000EE"/>
            <w:u w:val="single"/>
          </w:rPr>
          <w:t>يوئيل 2:13</w:t>
        </w:r>
      </w:hyperlink>
      <w:r>
        <w:rPr>
          <w:lang w:val="ar_AE" w:bidi="ar_AE"/>
        </w:rPr>
        <w:t xml:space="preserve">). إنَّ التصرف السليم تجاه العبادة الفاسدة ليس التخلِّي عن العبادة بل عبادة الله بالروح والحق (انظر </w:t>
      </w:r>
      <w:hyperlink r:id="rId27">
        <w:r>
          <w:rPr>
            <w:lang w:val="ar_AE" w:bidi="ar_AE"/>
          </w:rPr>
          <w:rPr>
            <w:color w:val="0000EE"/>
            <w:u w:val="single"/>
          </w:rPr>
          <w:t>يوحنّا 4:23–24</w:t>
        </w:r>
      </w:hyperlink>
      <w:r>
        <w:rPr>
          <w:lang w:val="ar_AE" w:bidi="ar_AE"/>
        </w:rPr>
        <w:t>).</w:t>
      </w:r>
    </w:p>
    <w:p>
      <w:pPr>
        <w:bidi/>
      </w:pPr>
      <w:r>
        <w:rPr>
          <w:lang w:val="ar_AE" w:bidi="ar_AE"/>
        </w:rPr>
      </w:r>
      <w:r>
        <w:rPr>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hyperlink r:id="rId28">
        <w:r>
          <w:rPr>
            <w:lang w:val="ar_AE" w:bidi="ar_AE"/>
          </w:rPr>
          <w:rPr>
            <w:color w:val="0000EE"/>
            <w:u w:val="single"/>
          </w:rPr>
          <w:t>يوئيل 1:15؛</w:t>
        </w:r>
      </w:hyperlink>
      <w:r>
        <w:rPr>
          <w:lang w:val="ar_AE" w:bidi="ar_AE"/>
        </w:rPr>
        <w:t xml:space="preserve"> </w:t>
      </w:r>
      <w:hyperlink r:id="rId29">
        <w:r>
          <w:rPr>
            <w:lang w:val="ar_AE" w:bidi="ar_AE"/>
          </w:rPr>
          <w:rPr>
            <w:color w:val="0000EE"/>
            <w:u w:val="single"/>
          </w:rPr>
          <w:t>2:1</w:t>
        </w:r>
      </w:hyperlink>
      <w:r>
        <w:rPr>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hyperlink r:id="rId17">
        <w:r>
          <w:rPr>
            <w:lang w:val="ar_AE" w:bidi="ar_AE"/>
          </w:rPr>
          <w:rPr>
            <w:color w:val="0000EE"/>
            <w:u w:val="single"/>
          </w:rPr>
          <w:t>يوئيل 2:28–3:21؛</w:t>
        </w:r>
      </w:hyperlink>
      <w:r>
        <w:rPr>
          <w:lang w:val="ar_AE" w:bidi="ar_AE"/>
        </w:rPr>
        <w:t xml:space="preserve"> انظر </w:t>
      </w:r>
      <w:hyperlink r:id="rId30">
        <w:r>
          <w:rPr>
            <w:lang w:val="ar_AE" w:bidi="ar_AE"/>
          </w:rPr>
          <w:rPr>
            <w:color w:val="0000EE"/>
            <w:u w:val="single"/>
          </w:rPr>
          <w:t>متى 16:27؛</w:t>
        </w:r>
      </w:hyperlink>
      <w:r>
        <w:rPr>
          <w:lang w:val="ar_AE" w:bidi="ar_AE"/>
        </w:rPr>
        <w:t xml:space="preserve"> </w:t>
      </w:r>
      <w:hyperlink r:id="rId31">
        <w:r>
          <w:rPr>
            <w:lang w:val="ar_AE" w:bidi="ar_AE"/>
          </w:rPr>
          <w:rPr>
            <w:color w:val="0000EE"/>
            <w:u w:val="single"/>
          </w:rPr>
          <w:t>أعمال 2:16–40؛</w:t>
        </w:r>
      </w:hyperlink>
      <w:r>
        <w:rPr>
          <w:lang w:val="ar_AE" w:bidi="ar_AE"/>
        </w:rPr>
        <w:t xml:space="preserve"> </w:t>
      </w:r>
      <w:hyperlink r:id="rId32">
        <w:r>
          <w:rPr>
            <w:lang w:val="ar_AE" w:bidi="ar_AE"/>
          </w:rPr>
          <w:rPr>
            <w:color w:val="0000EE"/>
            <w:u w:val="single"/>
          </w:rPr>
          <w:t>كولوسي 2:13–22؛</w:t>
        </w:r>
      </w:hyperlink>
      <w:r>
        <w:rPr>
          <w:lang w:val="ar_AE" w:bidi="ar_AE"/>
        </w:rPr>
        <w:t xml:space="preserve"> </w:t>
      </w:r>
      <w:hyperlink r:id="rId33">
        <w:r>
          <w:rPr>
            <w:lang w:val="ar_AE" w:bidi="ar_AE"/>
          </w:rPr>
          <w:rPr>
            <w:color w:val="0000EE"/>
            <w:u w:val="single"/>
          </w:rPr>
          <w:t>رؤيا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