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3">
        <w:r>
          <w:rPr>
            <w:lang w:val="fr_FR" w:bidi="fr_FR"/>
          </w:rPr>
          <w:rPr>
            <w:color w:val="0000EE"/>
            <w:u w:val="single"/>
          </w:rPr>
          <w:t>Ac 13.13–14.28</w:t>
        </w:r>
      </w:hyperlink>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hyperlink r:id="rId14">
        <w:r>
          <w:rPr>
            <w:lang w:val="fr_FR" w:bidi="fr_FR"/>
          </w:rPr>
          <w:rPr>
            <w:color w:val="0000EE"/>
            <w:u w:val="single"/>
          </w:rPr>
          <w:t>Ac 14.27</w:t>
        </w:r>
      </w:hyperlink>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hyperlink r:id="rId15">
        <w:r>
          <w:rPr>
            <w:lang w:val="fr_FR" w:bidi="fr_FR"/>
          </w:rPr>
          <w:rPr>
            <w:color w:val="0000EE"/>
            <w:u w:val="single"/>
          </w:rPr>
          <w:t>Ac 10.1–48</w:t>
        </w:r>
      </w:hyperlink>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hyperlink r:id="rId16">
        <w:r>
          <w:rPr>
            <w:lang w:val="fr_FR" w:bidi="fr_FR"/>
          </w:rPr>
          <w:rPr>
            <w:color w:val="0000EE"/>
            <w:u w:val="single"/>
          </w:rPr>
          <w:t>Ac 15.1–41</w:t>
        </w:r>
      </w:hyperlink>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hyperlink r:id="rId17">
        <w:r>
          <w:rPr>
            <w:lang w:val="fr_FR" w:bidi="fr_FR"/>
          </w:rPr>
          <w:rPr>
            <w:color w:val="0000EE"/>
            <w:u w:val="single"/>
          </w:rPr>
          <w:t>Ac 11.1–18</w:t>
        </w:r>
      </w:hyperlink>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hyperlink r:id="rId18">
        <w:r>
          <w:rPr>
            <w:lang w:val="fr_FR" w:bidi="fr_FR"/>
          </w:rPr>
          <w:rPr>
            <w:color w:val="0000EE"/>
            <w:u w:val="single"/>
          </w:rPr>
          <w:t>Ga 1.1–5</w:t>
        </w:r>
      </w:hyperlink>
      <w:r>
        <w:rPr>
          <w:lang w:val="fr_FR" w:bidi="fr_FR"/>
        </w:rPr>
        <w:t>), Paul se lance directement dans sa thèse : la Bonne Nouvelle qu’il prêche est la seule vraie Bonne Nouvelle (</w:t>
      </w:r>
      <w:hyperlink r:id="rId19">
        <w:r>
          <w:rPr>
            <w:lang w:val="fr_FR" w:bidi="fr_FR"/>
          </w:rPr>
          <w:rPr>
            <w:color w:val="0000EE"/>
            <w:u w:val="single"/>
          </w:rPr>
          <w:t>1.6–7</w:t>
        </w:r>
      </w:hyperlink>
      <w:r>
        <w:rPr>
          <w:lang w:val="fr_FR" w:bidi="fr_FR"/>
        </w:rPr>
        <w:t>), il est un véritable apôtre du Christ (</w:t>
      </w:r>
      <w:hyperlink r:id="rId20">
        <w:r>
          <w:rPr>
            <w:lang w:val="fr_FR" w:bidi="fr_FR"/>
          </w:rPr>
          <w:rPr>
            <w:color w:val="0000EE"/>
            <w:u w:val="single"/>
          </w:rPr>
          <w:t>1.1</w:t>
        </w:r>
      </w:hyperlink>
      <w:r>
        <w:rPr>
          <w:lang w:val="fr_FR" w:bidi="fr_FR"/>
        </w:rPr>
        <w:t xml:space="preserve">, </w:t>
      </w:r>
      <w:hyperlink r:id="rId21">
        <w:r>
          <w:rPr>
            <w:lang w:val="fr_FR" w:bidi="fr_FR"/>
          </w:rPr>
          <w:rPr>
            <w:color w:val="0000EE"/>
            <w:u w:val="single"/>
          </w:rPr>
          <w:t>1.10</w:t>
        </w:r>
      </w:hyperlink>
      <w:r>
        <w:rPr>
          <w:lang w:val="fr_FR" w:bidi="fr_FR"/>
        </w:rPr>
        <w:t>), et ses opposants subiront le jugement de Dieu pour leur faux message (</w:t>
      </w:r>
      <w:hyperlink r:id="rId22">
        <w:r>
          <w:rPr>
            <w:lang w:val="fr_FR" w:bidi="fr_FR"/>
          </w:rPr>
          <w:rPr>
            <w:color w:val="0000EE"/>
            <w:u w:val="single"/>
          </w:rPr>
          <w:t>1.8–9</w:t>
        </w:r>
      </w:hyperlink>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hyperlink r:id="rId23">
        <w:r>
          <w:rPr>
            <w:lang w:val="fr_FR" w:bidi="fr_FR"/>
          </w:rPr>
          <w:rPr>
            <w:color w:val="0000EE"/>
            <w:u w:val="single"/>
          </w:rPr>
          <w:t>1.11–2.21</w:t>
        </w:r>
      </w:hyperlink>
      <w:r>
        <w:rPr>
          <w:lang w:val="fr_FR" w:bidi="fr_FR"/>
        </w:rPr>
        <w:t>). À cette fin, Paul rappelle aux Galates le genre de personne qu’il était autrefois (</w:t>
      </w:r>
      <w:hyperlink r:id="rId24">
        <w:r>
          <w:rPr>
            <w:lang w:val="fr_FR" w:bidi="fr_FR"/>
          </w:rPr>
          <w:rPr>
            <w:color w:val="0000EE"/>
            <w:u w:val="single"/>
          </w:rPr>
          <w:t>1.13–14</w:t>
        </w:r>
      </w:hyperlink>
      <w:r>
        <w:rPr>
          <w:lang w:val="fr_FR" w:bidi="fr_FR"/>
        </w:rPr>
        <w:t>) et raconte son expérience de conversion et l’appel qu’il a reçu de Dieu (</w:t>
      </w:r>
      <w:hyperlink r:id="rId25">
        <w:r>
          <w:rPr>
            <w:lang w:val="fr_FR" w:bidi="fr_FR"/>
          </w:rPr>
          <w:rPr>
            <w:color w:val="0000EE"/>
            <w:u w:val="single"/>
          </w:rPr>
          <w:t>1.15–16</w:t>
        </w:r>
      </w:hyperlink>
      <w:r>
        <w:rPr>
          <w:lang w:val="fr_FR" w:bidi="fr_FR"/>
        </w:rPr>
        <w:t>a). Paul a reçu la Bonne Nouvelle directement par révélation du Christ (</w:t>
      </w:r>
      <w:hyperlink r:id="rId26">
        <w:r>
          <w:rPr>
            <w:lang w:val="fr_FR" w:bidi="fr_FR"/>
          </w:rPr>
          <w:rPr>
            <w:color w:val="0000EE"/>
            <w:u w:val="single"/>
          </w:rPr>
          <w:t>1.11–12</w:t>
        </w:r>
      </w:hyperlink>
      <w:r>
        <w:rPr>
          <w:lang w:val="fr_FR" w:bidi="fr_FR"/>
        </w:rPr>
        <w:t>) et non pas par l’intermédiaire des autres apôtres à Jérusalem (</w:t>
      </w:r>
      <w:hyperlink r:id="rId27">
        <w:r>
          <w:rPr>
            <w:lang w:val="fr_FR" w:bidi="fr_FR"/>
          </w:rPr>
          <w:rPr>
            <w:color w:val="0000EE"/>
            <w:u w:val="single"/>
          </w:rPr>
          <w:t>1.16–24</w:t>
        </w:r>
      </w:hyperlink>
      <w:r>
        <w:rPr>
          <w:lang w:val="fr_FR" w:bidi="fr_FR"/>
        </w:rPr>
        <w:t>). Pourtant, les autres apôtres ont reconnu son apostolat et son message (</w:t>
      </w:r>
      <w:hyperlink r:id="rId28">
        <w:r>
          <w:rPr>
            <w:lang w:val="fr_FR" w:bidi="fr_FR"/>
          </w:rPr>
          <w:rPr>
            <w:color w:val="0000EE"/>
            <w:u w:val="single"/>
          </w:rPr>
          <w:t>2.1–10</w:t>
        </w:r>
      </w:hyperlink>
      <w:r>
        <w:rPr>
          <w:lang w:val="fr_FR" w:bidi="fr_FR"/>
        </w:rPr>
        <w:t>), et ils n’avaient rien à y ajouter ou à changer. De plus, Paul a montré son authenticité à un moment où Pierre et d’autres ont compromis la Bonne Nouvelle, en allant à l’encontre de leurs propres principes (</w:t>
      </w:r>
      <w:hyperlink r:id="rId29">
        <w:r>
          <w:rPr>
            <w:lang w:val="fr_FR" w:bidi="fr_FR"/>
          </w:rPr>
          <w:rPr>
            <w:color w:val="0000EE"/>
            <w:u w:val="single"/>
          </w:rPr>
          <w:t>2.11–21</w:t>
        </w:r>
      </w:hyperlink>
      <w:r>
        <w:rPr>
          <w:lang w:val="fr_FR" w:bidi="fr_FR"/>
        </w:rPr>
        <w:t>).</w:t>
      </w:r>
    </w:p>
    <w:p>
      <w:pPr/>
      <w:r>
        <w:rPr>
          <w:lang w:val="fr_FR" w:bidi="fr_FR"/>
        </w:rPr>
      </w:r>
      <w:r>
        <w:rPr>
          <w:lang w:val="fr_FR" w:bidi="fr_FR"/>
        </w:rPr>
        <w:t>Paul affirme alors que sa présentation de la Bonne Nouvelle est conforme aux Écritures et véridique (</w:t>
      </w:r>
      <w:hyperlink r:id="rId30">
        <w:r>
          <w:rPr>
            <w:lang w:val="fr_FR" w:bidi="fr_FR"/>
          </w:rPr>
          <w:rPr>
            <w:color w:val="0000EE"/>
            <w:u w:val="single"/>
          </w:rPr>
          <w:t>3.1–5.12</w:t>
        </w:r>
      </w:hyperlink>
      <w:r>
        <w:rPr>
          <w:lang w:val="fr_FR" w:bidi="fr_FR"/>
        </w:rPr>
        <w:t>). Les Galates avaient expérimenté l’Esprit par la foi (</w:t>
      </w:r>
      <w:hyperlink r:id="rId31">
        <w:r>
          <w:rPr>
            <w:lang w:val="fr_FR" w:bidi="fr_FR"/>
          </w:rPr>
          <w:rPr>
            <w:color w:val="0000EE"/>
            <w:u w:val="single"/>
          </w:rPr>
          <w:t>3.1–5</w:t>
        </w:r>
      </w:hyperlink>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hyperlink r:id="rId32">
        <w:r>
          <w:rPr>
            <w:lang w:val="fr_FR" w:bidi="fr_FR"/>
          </w:rPr>
          <w:rPr>
            <w:color w:val="0000EE"/>
            <w:u w:val="single"/>
          </w:rPr>
          <w:t>3.6–9</w:t>
        </w:r>
      </w:hyperlink>
      <w:r>
        <w:rPr>
          <w:lang w:val="fr_FR" w:bidi="fr_FR"/>
        </w:rPr>
        <w:t>). En revanche, essayer d’être juste en respectant la loi n’apporte qu’une malédiction (</w:t>
      </w:r>
      <w:hyperlink r:id="rId33">
        <w:r>
          <w:rPr>
            <w:lang w:val="fr_FR" w:bidi="fr_FR"/>
          </w:rPr>
          <w:rPr>
            <w:color w:val="0000EE"/>
            <w:u w:val="single"/>
          </w:rPr>
          <w:t>3.10–12</w:t>
        </w:r>
      </w:hyperlink>
      <w:r>
        <w:rPr>
          <w:lang w:val="fr_FR" w:bidi="fr_FR"/>
        </w:rPr>
        <w:t>). Christ nous a sauvés de cette malédiction et a rendu la bénédiction de Dieu accessible à tous ceux qui ont foi en lui (</w:t>
      </w:r>
      <w:hyperlink r:id="rId34">
        <w:r>
          <w:rPr>
            <w:lang w:val="fr_FR" w:bidi="fr_FR"/>
          </w:rPr>
          <w:rPr>
            <w:color w:val="0000EE"/>
            <w:u w:val="single"/>
          </w:rPr>
          <w:t>3.13–14</w:t>
        </w:r>
      </w:hyperlink>
      <w:r>
        <w:rPr>
          <w:lang w:val="fr_FR" w:bidi="fr_FR"/>
        </w:rPr>
        <w:t>). La promesse de Dieu à Abraham montre que la promesse est donnée sur la base de la foi, et non de la loi (</w:t>
      </w:r>
      <w:hyperlink r:id="rId35">
        <w:r>
          <w:rPr>
            <w:lang w:val="fr_FR" w:bidi="fr_FR"/>
          </w:rPr>
          <w:rPr>
            <w:color w:val="0000EE"/>
            <w:u w:val="single"/>
          </w:rPr>
          <w:t>3.15–18</w:t>
        </w:r>
      </w:hyperlink>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hyperlink r:id="rId36">
        <w:r>
          <w:rPr>
            <w:lang w:val="fr_FR" w:bidi="fr_FR"/>
          </w:rPr>
          <w:rPr>
            <w:color w:val="0000EE"/>
            <w:u w:val="single"/>
          </w:rPr>
          <w:t>3.19–22</w:t>
        </w:r>
      </w:hyperlink>
      <w:r>
        <w:rPr>
          <w:lang w:val="fr_FR" w:bidi="fr_FR"/>
        </w:rPr>
        <w:t>). Maintenant que le Christ est venu, ceux qui ont foi en lui sont les enfants de Dieu et les héritiers de ses promesses (</w:t>
      </w:r>
      <w:hyperlink r:id="rId37">
        <w:r>
          <w:rPr>
            <w:lang w:val="fr_FR" w:bidi="fr_FR"/>
          </w:rPr>
          <w:rPr>
            <w:color w:val="0000EE"/>
            <w:u w:val="single"/>
          </w:rPr>
          <w:t>3.23–4.7</w:t>
        </w:r>
      </w:hyperlink>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hyperlink r:id="rId38">
        <w:r>
          <w:rPr>
            <w:lang w:val="fr_FR" w:bidi="fr_FR"/>
          </w:rPr>
          <w:rPr>
            <w:color w:val="0000EE"/>
            <w:u w:val="single"/>
          </w:rPr>
          <w:t>4.8–11</w:t>
        </w:r>
      </w:hyperlink>
      <w:r>
        <w:rPr>
          <w:lang w:val="fr_FR" w:bidi="fr_FR"/>
        </w:rPr>
        <w:t xml:space="preserve">), </w:t>
      </w:r>
      <w:r>
        <w:rPr>
          <w:lang w:val="fr_FR" w:bidi="fr_FR"/>
        </w:rPr>
        <w:t>c’est pourquoi Paul les appelle personnellement à reconsidérer leur position</w:t>
      </w:r>
      <w:r>
        <w:rPr>
          <w:lang w:val="fr_FR" w:bidi="fr_FR"/>
        </w:rPr>
        <w:t xml:space="preserve"> (</w:t>
      </w:r>
      <w:hyperlink r:id="rId39">
        <w:r>
          <w:rPr>
            <w:lang w:val="fr_FR" w:bidi="fr_FR"/>
          </w:rPr>
          <w:rPr>
            <w:color w:val="0000EE"/>
            <w:u w:val="single"/>
          </w:rPr>
          <w:t>4.12–20</w:t>
        </w:r>
      </w:hyperlink>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hyperlink r:id="rId40">
        <w:r>
          <w:rPr>
            <w:lang w:val="fr_FR" w:bidi="fr_FR"/>
          </w:rPr>
          <w:rPr>
            <w:color w:val="0000EE"/>
            <w:u w:val="single"/>
          </w:rPr>
          <w:t>4.21–31</w:t>
        </w:r>
      </w:hyperlink>
      <w:r>
        <w:rPr>
          <w:lang w:val="fr_FR" w:bidi="fr_FR"/>
        </w:rPr>
        <w:t>). Le peuple de Dieu doit vivre dans la liberté (</w:t>
      </w:r>
      <w:hyperlink r:id="rId41">
        <w:r>
          <w:rPr>
            <w:lang w:val="fr_FR" w:bidi="fr_FR"/>
          </w:rPr>
          <w:rPr>
            <w:color w:val="0000EE"/>
            <w:u w:val="single"/>
          </w:rPr>
          <w:t>5.1</w:t>
        </w:r>
      </w:hyperlink>
      <w:r>
        <w:rPr>
          <w:lang w:val="fr_FR" w:bidi="fr_FR"/>
        </w:rPr>
        <w:t>), rejeter une dépendance à l’égard de l’obéissance à la loi pour le salut (</w:t>
      </w:r>
      <w:hyperlink r:id="rId42">
        <w:r>
          <w:rPr>
            <w:lang w:val="fr_FR" w:bidi="fr_FR"/>
          </w:rPr>
          <w:rPr>
            <w:color w:val="0000EE"/>
            <w:u w:val="single"/>
          </w:rPr>
          <w:t>5.2–4</w:t>
        </w:r>
      </w:hyperlink>
      <w:r>
        <w:rPr>
          <w:lang w:val="fr_FR" w:bidi="fr_FR"/>
        </w:rPr>
        <w:t>), et vivre par la foi (</w:t>
      </w:r>
      <w:hyperlink r:id="rId43">
        <w:r>
          <w:rPr>
            <w:lang w:val="fr_FR" w:bidi="fr_FR"/>
          </w:rPr>
          <w:rPr>
            <w:color w:val="0000EE"/>
            <w:u w:val="single"/>
          </w:rPr>
          <w:t>5.5–6</w:t>
        </w:r>
      </w:hyperlink>
      <w:r>
        <w:rPr>
          <w:lang w:val="fr_FR" w:bidi="fr_FR"/>
        </w:rPr>
        <w:t xml:space="preserve">), </w:t>
      </w:r>
      <w:r>
        <w:rPr>
          <w:lang w:val="fr_FR" w:bidi="fr_FR"/>
        </w:rPr>
        <w:t>parce qu’un message de salut par la loi n’est pas de Dieu</w:t>
      </w:r>
      <w:r>
        <w:rPr>
          <w:lang w:val="fr_FR" w:bidi="fr_FR"/>
        </w:rPr>
        <w:t xml:space="preserve"> (</w:t>
      </w:r>
      <w:hyperlink r:id="rId44">
        <w:r>
          <w:rPr>
            <w:lang w:val="fr_FR" w:bidi="fr_FR"/>
          </w:rPr>
          <w:rPr>
            <w:color w:val="0000EE"/>
            <w:u w:val="single"/>
          </w:rPr>
          <w:t>5.7–12</w:t>
        </w:r>
      </w:hyperlink>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5">
        <w:r>
          <w:rPr>
            <w:lang w:val="fr_FR" w:bidi="fr_FR"/>
          </w:rPr>
          <w:rPr>
            <w:color w:val="0000EE"/>
            <w:u w:val="single"/>
          </w:rPr>
          <w:t>5.13–6.10</w:t>
        </w:r>
      </w:hyperlink>
      <w:r>
        <w:rPr>
          <w:lang w:val="fr_FR" w:bidi="fr_FR"/>
        </w:rPr>
        <w:t>). La liberté offre une occasion d’aimer plutôt que de pécher (</w:t>
      </w:r>
      <w:hyperlink r:id="rId46">
        <w:r>
          <w:rPr>
            <w:lang w:val="fr_FR" w:bidi="fr_FR"/>
          </w:rPr>
          <w:rPr>
            <w:color w:val="0000EE"/>
            <w:u w:val="single"/>
          </w:rPr>
          <w:t>5.13–15</w:t>
        </w:r>
      </w:hyperlink>
      <w:r>
        <w:rPr>
          <w:lang w:val="fr_FR" w:bidi="fr_FR"/>
        </w:rPr>
        <w:t>), et le seul moyen de surmonter le péché est de vivre par la puissance du Saint-Esprit (</w:t>
      </w:r>
      <w:hyperlink r:id="rId47">
        <w:r>
          <w:rPr>
            <w:lang w:val="fr_FR" w:bidi="fr_FR"/>
          </w:rPr>
          <w:rPr>
            <w:color w:val="0000EE"/>
            <w:u w:val="single"/>
          </w:rPr>
          <w:t>5.16–18</w:t>
        </w:r>
      </w:hyperlink>
      <w:r>
        <w:rPr>
          <w:lang w:val="fr_FR" w:bidi="fr_FR"/>
        </w:rPr>
        <w:t>). Vivre en s’appuyant sur des efforts humains ne peut pas triompher du péché, car la nature pécheresse ne génère que des actes pécheurs (</w:t>
      </w:r>
      <w:hyperlink r:id="rId48">
        <w:r>
          <w:rPr>
            <w:lang w:val="fr_FR" w:bidi="fr_FR"/>
          </w:rPr>
          <w:rPr>
            <w:color w:val="0000EE"/>
            <w:u w:val="single"/>
          </w:rPr>
          <w:t>5.19–21</w:t>
        </w:r>
      </w:hyperlink>
      <w:r>
        <w:rPr>
          <w:lang w:val="fr_FR" w:bidi="fr_FR"/>
        </w:rPr>
        <w:t>). En revanche, vivre dans la puissance du Saint-Esprit produit de bons fruits (</w:t>
      </w:r>
      <w:hyperlink r:id="rId49">
        <w:r>
          <w:rPr>
            <w:lang w:val="fr_FR" w:bidi="fr_FR"/>
          </w:rPr>
          <w:rPr>
            <w:color w:val="0000EE"/>
            <w:u w:val="single"/>
          </w:rPr>
          <w:t>5.22–23</w:t>
        </w:r>
      </w:hyperlink>
      <w:r>
        <w:rPr>
          <w:lang w:val="fr_FR" w:bidi="fr_FR"/>
        </w:rPr>
        <w:t>). Paul donne plusieurs exemples de la direction de l’Esprit dans la vie des enfants de Dieu (</w:t>
      </w:r>
      <w:hyperlink r:id="rId50">
        <w:r>
          <w:rPr>
            <w:lang w:val="fr_FR" w:bidi="fr_FR"/>
          </w:rPr>
          <w:rPr>
            <w:color w:val="0000EE"/>
            <w:u w:val="single"/>
          </w:rPr>
          <w:t>5.24–6.10</w:t>
        </w:r>
      </w:hyperlink>
      <w:r>
        <w:rPr>
          <w:lang w:val="fr_FR" w:bidi="fr_FR"/>
        </w:rPr>
        <w:t>).</w:t>
      </w:r>
    </w:p>
    <w:p>
      <w:pPr/>
      <w:r>
        <w:rPr>
          <w:lang w:val="fr_FR" w:bidi="fr_FR"/>
        </w:rPr>
      </w:r>
      <w:r>
        <w:rPr>
          <w:lang w:val="fr_FR" w:bidi="fr_FR"/>
        </w:rPr>
        <w:t>Paul termine sa lettre par un post-scriptum de sa propre main (</w:t>
      </w:r>
      <w:hyperlink r:id="rId51">
        <w:r>
          <w:rPr>
            <w:lang w:val="fr_FR" w:bidi="fr_FR"/>
          </w:rPr>
          <w:rPr>
            <w:color w:val="0000EE"/>
            <w:u w:val="single"/>
          </w:rPr>
          <w:t>6.11–18</w:t>
        </w:r>
      </w:hyperlink>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hyperlink r:id="rId52">
        <w:r>
          <w:rPr>
            <w:lang w:val="fr_FR" w:bidi="fr_FR"/>
          </w:rPr>
          <w:rPr>
            <w:color w:val="0000EE"/>
            <w:u w:val="single"/>
          </w:rPr>
          <w:t xml:space="preserve">Ac 16.6 </w:t>
        </w:r>
      </w:hyperlink>
      <w:r>
        <w:rPr>
          <w:lang w:val="fr_FR" w:bidi="fr_FR"/>
        </w:rPr>
        <w:t xml:space="preserve">; </w:t>
      </w:r>
      <w:hyperlink r:id="rId53">
        <w:r>
          <w:rPr>
            <w:lang w:val="fr_FR" w:bidi="fr_FR"/>
          </w:rPr>
          <w:rPr>
            <w:color w:val="0000EE"/>
            <w:u w:val="single"/>
          </w:rPr>
          <w:t>18.23</w:t>
        </w:r>
      </w:hyperlink>
      <w:r>
        <w:rPr>
          <w:lang w:val="fr_FR" w:bidi="fr_FR"/>
        </w:rPr>
        <w:t>), alors que nous avons des traces d’une activité missionnaire étendue et répétée par Paul dans la partie sud de la province romaine de Galatie (</w:t>
      </w:r>
      <w:hyperlink r:id="rId54">
        <w:r>
          <w:rPr>
            <w:lang w:val="fr_FR" w:bidi="fr_FR"/>
          </w:rPr>
          <w:rPr>
            <w:color w:val="0000EE"/>
            <w:u w:val="single"/>
          </w:rPr>
          <w:t xml:space="preserve">Ac 13.13–14.25 </w:t>
        </w:r>
      </w:hyperlink>
      <w:r>
        <w:rPr>
          <w:lang w:val="fr_FR" w:bidi="fr_FR"/>
        </w:rPr>
        <w:t xml:space="preserve">; </w:t>
      </w:r>
      <w:hyperlink r:id="rId55">
        <w:r>
          <w:rPr>
            <w:lang w:val="fr_FR" w:bidi="fr_FR"/>
          </w:rPr>
          <w:rPr>
            <w:color w:val="0000EE"/>
            <w:u w:val="single"/>
          </w:rPr>
          <w:t>16.1–5</w:t>
        </w:r>
      </w:hyperlink>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hyperlink r:id="rId56">
        <w:r>
          <w:rPr>
            <w:lang w:val="fr_FR" w:bidi="fr_FR"/>
          </w:rPr>
          <w:rPr>
            <w:color w:val="0000EE"/>
            <w:u w:val="single"/>
          </w:rPr>
          <w:t>Ac 15.1–29</w:t>
        </w:r>
      </w:hyperlink>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hyperlink r:id="rId28">
        <w:r>
          <w:rPr>
            <w:lang w:val="fr_FR" w:bidi="fr_FR"/>
          </w:rPr>
          <w:rPr>
            <w:color w:val="0000EE"/>
            <w:u w:val="single"/>
          </w:rPr>
          <w:t>2.1–10</w:t>
        </w:r>
      </w:hyperlink>
      <w:r>
        <w:rPr>
          <w:lang w:val="fr_FR" w:bidi="fr_FR"/>
        </w:rPr>
        <w:t xml:space="preserve"> est la description par Paul du concile de Jérusalem. Cependant, un examen attentif révèle des différences sérieuses entre le </w:t>
      </w:r>
      <w:hyperlink r:id="rId57">
        <w:r>
          <w:rPr>
            <w:lang w:val="fr_FR" w:bidi="fr_FR"/>
          </w:rPr>
          <w:rPr>
            <w:color w:val="0000EE"/>
            <w:u w:val="single"/>
          </w:rPr>
          <w:t>chapitre 2</w:t>
        </w:r>
      </w:hyperlink>
      <w:r>
        <w:rPr>
          <w:lang w:val="fr_FR" w:bidi="fr_FR"/>
        </w:rPr>
        <w:t xml:space="preserve"> et </w:t>
      </w:r>
      <w:hyperlink r:id="rId16">
        <w:r>
          <w:rPr>
            <w:lang w:val="fr_FR" w:bidi="fr_FR"/>
          </w:rPr>
          <w:rPr>
            <w:color w:val="0000EE"/>
            <w:u w:val="single"/>
          </w:rPr>
          <w:t>Ac 15.1–41</w:t>
        </w:r>
      </w:hyperlink>
      <w:r>
        <w:rPr>
          <w:lang w:val="fr_FR" w:bidi="fr_FR"/>
        </w:rPr>
        <w:t>. Il est difficile de concilier le récit de Paul concernant ses deux visites à Jérusalem (</w:t>
      </w:r>
      <w:hyperlink r:id="rId58">
        <w:r>
          <w:rPr>
            <w:lang w:val="fr_FR" w:bidi="fr_FR"/>
          </w:rPr>
          <w:rPr>
            <w:color w:val="0000EE"/>
            <w:u w:val="single"/>
          </w:rPr>
          <w:t>2.1</w:t>
        </w:r>
      </w:hyperlink>
      <w:r>
        <w:rPr>
          <w:lang w:val="fr_FR" w:bidi="fr_FR"/>
        </w:rPr>
        <w:t xml:space="preserve">) avec le fait que le concile mentionné dans </w:t>
      </w:r>
      <w:hyperlink r:id="rId16">
        <w:r>
          <w:rPr>
            <w:lang w:val="fr_FR" w:bidi="fr_FR"/>
          </w:rPr>
          <w:rPr>
            <w:color w:val="0000EE"/>
            <w:u w:val="single"/>
          </w:rPr>
          <w:t>Ac 15.1–41</w:t>
        </w:r>
      </w:hyperlink>
      <w:r>
        <w:rPr>
          <w:lang w:val="fr_FR" w:bidi="fr_FR"/>
        </w:rPr>
        <w:t xml:space="preserve"> était en réalité sa troisième visite. Négliger de mentionner sa deuxième visite (</w:t>
      </w:r>
      <w:hyperlink r:id="rId59">
        <w:r>
          <w:rPr>
            <w:lang w:val="fr_FR" w:bidi="fr_FR"/>
          </w:rPr>
          <w:rPr>
            <w:color w:val="0000EE"/>
            <w:u w:val="single"/>
          </w:rPr>
          <w:t>Ac 11.30</w:t>
        </w:r>
      </w:hyperlink>
      <w:r>
        <w:rPr>
          <w:lang w:val="fr_FR" w:bidi="fr_FR"/>
        </w:rPr>
        <w:t xml:space="preserve"> ; </w:t>
      </w:r>
      <w:hyperlink r:id="rId60">
        <w:r>
          <w:rPr>
            <w:lang w:val="fr_FR" w:bidi="fr_FR"/>
          </w:rPr>
          <w:rPr>
            <w:color w:val="0000EE"/>
            <w:u w:val="single"/>
          </w:rPr>
          <w:t>12.25</w:t>
        </w:r>
      </w:hyperlink>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hyperlink r:id="rId61">
        <w:r>
          <w:rPr>
            <w:lang w:val="fr_FR" w:bidi="fr_FR"/>
          </w:rPr>
          <w:rPr>
            <w:color w:val="0000EE"/>
            <w:u w:val="single"/>
          </w:rPr>
          <w:t>Ac 16.4</w:t>
        </w:r>
      </w:hyperlink>
      <w:r>
        <w:rPr>
          <w:lang w:val="fr_FR" w:bidi="fr_FR"/>
        </w:rPr>
        <w:t xml:space="preserve">). Il est donc difficile de croire que le récit des versets </w:t>
      </w:r>
      <w:hyperlink r:id="rId28">
        <w:r>
          <w:rPr>
            <w:lang w:val="fr_FR" w:bidi="fr_FR"/>
          </w:rPr>
          <w:rPr>
            <w:color w:val="0000EE"/>
            <w:u w:val="single"/>
          </w:rPr>
          <w:t>Ga 2.1–10</w:t>
        </w:r>
      </w:hyperlink>
      <w:r>
        <w:rPr>
          <w:lang w:val="fr_FR" w:bidi="fr_FR"/>
        </w:rPr>
        <w:t xml:space="preserve"> décrit le récit des versets </w:t>
      </w:r>
      <w:hyperlink r:id="rId16">
        <w:r>
          <w:rPr>
            <w:lang w:val="fr_FR" w:bidi="fr_FR"/>
          </w:rPr>
          <w:rPr>
            <w:color w:val="0000EE"/>
            <w:u w:val="single"/>
          </w:rPr>
          <w:t>Ac 15.1–41</w:t>
        </w:r>
      </w:hyperlink>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hyperlink r:id="rId28">
        <w:r>
          <w:rPr>
            <w:lang w:val="fr_FR" w:bidi="fr_FR"/>
          </w:rPr>
          <w:rPr>
            <w:color w:val="0000EE"/>
            <w:u w:val="single"/>
          </w:rPr>
          <w:t>Ga 2.1–10</w:t>
        </w:r>
      </w:hyperlink>
      <w:r>
        <w:rPr>
          <w:lang w:val="fr_FR" w:bidi="fr_FR"/>
        </w:rPr>
        <w:t xml:space="preserve"> avec celui mentionné aux versets </w:t>
      </w:r>
      <w:hyperlink r:id="rId59">
        <w:r>
          <w:rPr>
            <w:lang w:val="fr_FR" w:bidi="fr_FR"/>
          </w:rPr>
          <w:rPr>
            <w:color w:val="0000EE"/>
            <w:u w:val="single"/>
          </w:rPr>
          <w:t>Ac 11.30</w:t>
        </w:r>
      </w:hyperlink>
      <w:r>
        <w:rPr>
          <w:lang w:val="fr_FR" w:bidi="fr_FR"/>
        </w:rPr>
        <w:t xml:space="preserve"> et </w:t>
      </w:r>
      <w:hyperlink r:id="rId60">
        <w:r>
          <w:rPr>
            <w:lang w:val="fr_FR" w:bidi="fr_FR"/>
          </w:rPr>
          <w:rPr>
            <w:color w:val="0000EE"/>
            <w:u w:val="single"/>
          </w:rPr>
          <w:t>12.25</w:t>
        </w:r>
      </w:hyperlink>
      <w:r>
        <w:rPr>
          <w:lang w:val="fr_FR" w:bidi="fr_FR"/>
        </w:rPr>
        <w:t xml:space="preserve">. Cela laisse penser que Paul a écrit la lettre aux Galates peu avant le concile, peut-être en 48 ou 49 après J.‑C., juste au moment où la controverse sur la circoncision s’intensifiait dans l’Église (voir </w:t>
      </w:r>
      <w:hyperlink r:id="rId62">
        <w:r>
          <w:rPr>
            <w:lang w:val="fr_FR" w:bidi="fr_FR"/>
          </w:rPr>
          <w:rPr>
            <w:color w:val="0000EE"/>
            <w:u w:val="single"/>
          </w:rPr>
          <w:t>Ac 15.1–2</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