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hyperlink r:id="rId13">
        <w:r>
          <w:rPr>
            <w:lang w:val="fr_FR" w:bidi="fr_FR"/>
          </w:rPr>
          <w:rPr>
            <w:color w:val="0000EE"/>
            <w:u w:val="single"/>
          </w:rPr>
          <w:t>Actes 2:11</w:t>
        </w:r>
      </w:hyperlink>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hyperlink r:id="rId14">
        <w:r>
          <w:rPr>
            <w:lang w:val="fr_FR" w:bidi="fr_FR"/>
          </w:rPr>
          <w:rPr>
            <w:color w:val="0000EE"/>
            <w:u w:val="single"/>
          </w:rPr>
          <w:t>Tite 1:5</w:t>
        </w:r>
      </w:hyperlink>
      <w:r>
        <w:rPr>
          <w:lang w:val="fr_FR" w:bidi="fr_FR"/>
        </w:rPr>
        <w:t>). La seule autre mention de la Crète dans le Nouveau Testament survient pendant le transfert de Paul à Rome, en tant que prisonnier (</w:t>
      </w:r>
      <w:hyperlink r:id="rId15">
        <w:r>
          <w:rPr>
            <w:lang w:val="fr_FR" w:bidi="fr_FR"/>
          </w:rPr>
          <w:rPr>
            <w:color w:val="0000EE"/>
            <w:u w:val="single"/>
          </w:rPr>
          <w:t>Actes 27:7–21</w:t>
        </w:r>
      </w:hyperlink>
      <w:r>
        <w:rPr>
          <w:lang w:val="fr_FR" w:bidi="fr_FR"/>
        </w:rPr>
        <w:t xml:space="preserve">). Paul n’a pas eu l’occasion d’avoir un ministère actif à ce moment-là. Son œuvre sur l’île a probablement commencé après les événements racontés en </w:t>
      </w:r>
      <w:hyperlink r:id="rId16">
        <w:r>
          <w:rPr>
            <w:lang w:val="fr_FR" w:bidi="fr_FR"/>
          </w:rPr>
          <w:rPr>
            <w:color w:val="0000EE"/>
            <w:u w:val="single"/>
          </w:rPr>
          <w:t>Actes 28:1–31</w:t>
        </w:r>
      </w:hyperlink>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hyperlink r:id="rId17">
        <w:r>
          <w:rPr>
            <w:lang w:val="fr_FR" w:bidi="fr_FR"/>
          </w:rPr>
          <w:rPr>
            <w:color w:val="0000EE"/>
            <w:u w:val="single"/>
          </w:rPr>
          <w:t>Actes 14:23</w:t>
        </w:r>
      </w:hyperlink>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18">
        <w:r>
          <w:rPr>
            <w:lang w:val="fr_FR" w:bidi="fr_FR"/>
          </w:rPr>
          <w:rPr>
            <w:color w:val="0000EE"/>
            <w:u w:val="single"/>
          </w:rPr>
          <w:t>Tite 3:12</w:t>
        </w:r>
      </w:hyperlink>
      <w:r>
        <w:rPr>
          <w:lang w:val="fr_FR" w:bidi="fr_FR"/>
        </w:rPr>
        <w:t xml:space="preserve">). Le plan de Paul de passer l’hiver à Nicopolos suggère qu’il prévoyait de prendre le bateau vers l’Ouest dès le printemps (voir </w:t>
      </w:r>
      <w:hyperlink r:id="rId19">
        <w:r>
          <w:rPr>
            <w:lang w:val="fr_FR" w:bidi="fr_FR"/>
          </w:rPr>
          <w:rPr>
            <w:color w:val="0000EE"/>
            <w:u w:val="single"/>
          </w:rPr>
          <w:t>2 Timothée 4:21</w:t>
        </w:r>
      </w:hyperlink>
      <w:r>
        <w:rPr>
          <w:lang w:val="fr_FR" w:bidi="fr_FR"/>
        </w:rPr>
        <w:t xml:space="preserve">), probablement vers l’Italie et peut-être l’Espagne (voir </w:t>
      </w:r>
      <w:hyperlink r:id="rId20">
        <w:r>
          <w:rPr>
            <w:lang w:val="fr_FR" w:bidi="fr_FR"/>
          </w:rPr>
          <w:rPr>
            <w:color w:val="0000EE"/>
            <w:u w:val="single"/>
          </w:rPr>
          <w:t>Romains 15:24</w:t>
        </w:r>
      </w:hyperlink>
      <w:r>
        <w:rPr>
          <w:lang w:val="fr_FR" w:bidi="fr_FR"/>
        </w:rPr>
        <w:t xml:space="preserve">, </w:t>
      </w:r>
      <w:hyperlink r:id="rId21">
        <w:r>
          <w:rPr>
            <w:lang w:val="fr_FR" w:bidi="fr_FR"/>
          </w:rPr>
          <w:rPr>
            <w:color w:val="0000EE"/>
            <w:u w:val="single"/>
          </w:rPr>
          <w:t>28</w:t>
        </w:r>
      </w:hyperlink>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hyperlink r:id="rId22">
        <w:r>
          <w:rPr>
            <w:lang w:val="fr_FR" w:bidi="fr_FR"/>
          </w:rPr>
          <w:rPr>
            <w:color w:val="0000EE"/>
            <w:u w:val="single"/>
          </w:rPr>
          <w:t>1:5–3:11</w:t>
        </w:r>
      </w:hyperlink>
      <w:r>
        <w:rPr>
          <w:lang w:val="fr_FR" w:bidi="fr_FR"/>
        </w:rPr>
        <w:t>) est composée selon un modèle de commandements, d’argumentation et de charge. Paul répète constamment ce modèle, pour la nomination d’anciens (</w:t>
      </w:r>
      <w:hyperlink r:id="rId23">
        <w:r>
          <w:rPr>
            <w:lang w:val="fr_FR" w:bidi="fr_FR"/>
          </w:rPr>
          <w:rPr>
            <w:color w:val="0000EE"/>
            <w:u w:val="single"/>
          </w:rPr>
          <w:t>1:5–16</w:t>
        </w:r>
      </w:hyperlink>
      <w:r>
        <w:rPr>
          <w:lang w:val="fr_FR" w:bidi="fr_FR"/>
        </w:rPr>
        <w:t>), la bonne conduite à avoir parmi les membres de la famille de la foi (</w:t>
      </w:r>
      <w:hyperlink r:id="rId24">
        <w:r>
          <w:rPr>
            <w:lang w:val="fr_FR" w:bidi="fr_FR"/>
          </w:rPr>
          <w:rPr>
            <w:color w:val="0000EE"/>
            <w:u w:val="single"/>
          </w:rPr>
          <w:t>2:1–15</w:t>
        </w:r>
      </w:hyperlink>
      <w:r>
        <w:rPr>
          <w:lang w:val="fr_FR" w:bidi="fr_FR"/>
        </w:rPr>
        <w:t>) ou dans la société en générale (</w:t>
      </w:r>
      <w:hyperlink r:id="rId25">
        <w:r>
          <w:rPr>
            <w:lang w:val="fr_FR" w:bidi="fr_FR"/>
          </w:rPr>
          <w:rPr>
            <w:color w:val="0000EE"/>
            <w:u w:val="single"/>
          </w:rPr>
          <w:t>3:1–11</w:t>
        </w:r>
      </w:hyperlink>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hyperlink r:id="rId26">
        <w:r>
          <w:rPr>
            <w:lang w:val="fr_FR" w:bidi="fr_FR"/>
          </w:rPr>
          <w:rPr>
            <w:color w:val="0000EE"/>
            <w:u w:val="single"/>
          </w:rPr>
          <w:t>Actes 21</w:t>
        </w:r>
      </w:hyperlink>
      <w:r>
        <w:rPr>
          <w:lang w:val="fr_FR" w:bidi="fr_FR"/>
        </w:rPr>
        <w:t xml:space="preserve">, mais une date plus tardive, après son emprisonnement en </w:t>
      </w:r>
      <w:hyperlink r:id="rId16">
        <w:r>
          <w:rPr>
            <w:lang w:val="fr_FR" w:bidi="fr_FR"/>
          </w:rPr>
          <w:rPr>
            <w:color w:val="0000EE"/>
            <w:u w:val="single"/>
          </w:rPr>
          <w:t>Actes 28,</w:t>
        </w:r>
      </w:hyperlink>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hyperlink r:id="rId27">
        <w:r>
          <w:rPr>
            <w:lang w:val="fr_FR" w:bidi="fr_FR"/>
          </w:rPr>
          <w:rPr>
            <w:color w:val="0000EE"/>
            <w:u w:val="single"/>
          </w:rPr>
          <w:t>2:13</w:t>
        </w:r>
      </w:hyperlink>
      <w:r>
        <w:rPr>
          <w:lang w:val="fr_FR" w:bidi="fr_FR"/>
        </w:rPr>
        <w:t>), pour nous offrir le salut par pure miséricorde (</w:t>
      </w:r>
      <w:hyperlink r:id="rId28">
        <w:r>
          <w:rPr>
            <w:lang w:val="fr_FR" w:bidi="fr_FR"/>
          </w:rPr>
          <w:rPr>
            <w:color w:val="0000EE"/>
            <w:u w:val="single"/>
          </w:rPr>
          <w:t>3:5</w:t>
        </w:r>
      </w:hyperlink>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hyperlink r:id="rId29">
        <w:r>
          <w:rPr>
            <w:lang w:val="fr_FR" w:bidi="fr_FR"/>
          </w:rPr>
          <w:rPr>
            <w:color w:val="0000EE"/>
            <w:u w:val="single"/>
          </w:rPr>
          <w:t>Tite 1:10–16</w:t>
        </w:r>
      </w:hyperlink>
      <w:r>
        <w:rPr>
          <w:lang w:val="fr_FR" w:bidi="fr_FR"/>
        </w:rPr>
        <w:t xml:space="preserve">) suggère que les enseignements auxquels il est confronté sont assez semblables aux deux endroits (voir </w:t>
      </w:r>
      <w:hyperlink r:id="rId30">
        <w:r>
          <w:rPr>
            <w:lang w:val="fr_FR" w:bidi="fr_FR"/>
          </w:rPr>
          <w:rPr>
            <w:color w:val="0000EE"/>
            <w:u w:val="single"/>
          </w:rPr>
          <w:t>1 Timothée 1:4–7</w:t>
        </w:r>
      </w:hyperlink>
      <w:r>
        <w:rPr>
          <w:lang w:val="fr_FR" w:bidi="fr_FR"/>
        </w:rPr>
        <w:t xml:space="preserve">; </w:t>
      </w:r>
      <w:hyperlink r:id="rId31">
        <w:r>
          <w:rPr>
            <w:lang w:val="fr_FR" w:bidi="fr_FR"/>
          </w:rPr>
          <w:rPr>
            <w:color w:val="0000EE"/>
            <w:u w:val="single"/>
          </w:rPr>
          <w:t>4:1–4</w:t>
        </w:r>
      </w:hyperlink>
      <w:r>
        <w:rPr>
          <w:lang w:val="fr_FR" w:bidi="fr_FR"/>
        </w:rPr>
        <w:t xml:space="preserve">; </w:t>
      </w:r>
      <w:hyperlink r:id="rId32">
        <w:r>
          <w:rPr>
            <w:lang w:val="fr_FR" w:bidi="fr_FR"/>
          </w:rPr>
          <w:rPr>
            <w:color w:val="0000EE"/>
            <w:u w:val="single"/>
          </w:rPr>
          <w:t>2 Timothée 3:1–7</w:t>
        </w:r>
      </w:hyperlink>
      <w:r>
        <w:rPr>
          <w:lang w:val="fr_FR" w:bidi="fr_FR"/>
        </w:rPr>
        <w:t xml:space="preserve">; </w:t>
      </w:r>
      <w:hyperlink r:id="rId33">
        <w:r>
          <w:rPr>
            <w:lang w:val="fr_FR" w:bidi="fr_FR"/>
          </w:rPr>
          <w:rPr>
            <w:color w:val="0000EE"/>
            <w:u w:val="single"/>
          </w:rPr>
          <w:t>4:3–4</w:t>
        </w:r>
      </w:hyperlink>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4">
        <w:r>
          <w:rPr>
            <w:lang w:val="fr_FR" w:bidi="fr_FR"/>
          </w:rPr>
          <w:rPr>
            <w:color w:val="0000EE"/>
            <w:u w:val="single"/>
          </w:rPr>
          <w:t>1 Timothée 5:3–16</w:t>
        </w:r>
      </w:hyperlink>
      <w:r>
        <w:rPr>
          <w:lang w:val="fr_FR" w:bidi="fr_FR"/>
        </w:rPr>
        <w:t>) et de diacres (</w:t>
      </w:r>
      <w:hyperlink r:id="rId35">
        <w:r>
          <w:rPr>
            <w:lang w:val="fr_FR" w:bidi="fr_FR"/>
          </w:rPr>
          <w:rPr>
            <w:color w:val="0000EE"/>
            <w:u w:val="single"/>
          </w:rPr>
          <w:t>1 Timothée 3:8–13</w:t>
        </w:r>
      </w:hyperlink>
      <w:r>
        <w:rPr>
          <w:lang w:val="fr_FR" w:bidi="fr_FR"/>
        </w:rPr>
        <w:t xml:space="preserve">). Les différences au niveau des fauteurs de troubles peuvent expliquer le silence au sujet de l’enseignement des femmes (voir </w:t>
      </w:r>
      <w:hyperlink r:id="rId36">
        <w:r>
          <w:rPr>
            <w:lang w:val="fr_FR" w:bidi="fr_FR"/>
          </w:rPr>
          <w:rPr>
            <w:color w:val="0000EE"/>
            <w:u w:val="single"/>
          </w:rPr>
          <w:t>1 Timothée 2:11–15</w:t>
        </w:r>
      </w:hyperlink>
      <w:r>
        <w:rPr>
          <w:lang w:val="fr_FR" w:bidi="fr_FR"/>
        </w:rPr>
        <w:t>). Les critères de sélection des responsables (</w:t>
      </w:r>
      <w:hyperlink r:id="rId37">
        <w:r>
          <w:rPr>
            <w:lang w:val="fr_FR" w:bidi="fr_FR"/>
          </w:rPr>
          <w:rPr>
            <w:color w:val="0000EE"/>
            <w:u w:val="single"/>
          </w:rPr>
          <w:t>Tite 1:6–9</w:t>
        </w:r>
      </w:hyperlink>
      <w:r>
        <w:rPr>
          <w:lang w:val="fr_FR" w:bidi="fr_FR"/>
        </w:rPr>
        <w:t xml:space="preserve">), ainsi que les règles de conduite pour les membres de la communauté (voir </w:t>
      </w:r>
      <w:hyperlink r:id="rId38">
        <w:r>
          <w:rPr>
            <w:lang w:val="fr_FR" w:bidi="fr_FR"/>
          </w:rPr>
          <w:rPr>
            <w:color w:val="0000EE"/>
            <w:u w:val="single"/>
          </w:rPr>
          <w:t>2:1–10</w:t>
        </w:r>
      </w:hyperlink>
      <w:r>
        <w:rPr>
          <w:lang w:val="fr_FR" w:bidi="fr_FR"/>
        </w:rPr>
        <w:t>), peuvent représenter un abaissement de la barre, afin d’accommoder les nouveaux convertis d’arrière-plan païen. Enfin, l’insistance sur l’importance de garder le dépôt, si importante en Timothée (</w:t>
      </w:r>
      <w:hyperlink r:id="rId39">
        <w:r>
          <w:rPr>
            <w:lang w:val="fr_FR" w:bidi="fr_FR"/>
          </w:rPr>
          <w:rPr>
            <w:color w:val="0000EE"/>
            <w:u w:val="single"/>
          </w:rPr>
          <w:t>1 Timothée 1:18</w:t>
        </w:r>
      </w:hyperlink>
      <w:r>
        <w:rPr>
          <w:lang w:val="fr_FR" w:bidi="fr_FR"/>
        </w:rPr>
        <w:t xml:space="preserve">; </w:t>
      </w:r>
      <w:hyperlink r:id="rId40">
        <w:r>
          <w:rPr>
            <w:lang w:val="fr_FR" w:bidi="fr_FR"/>
          </w:rPr>
          <w:rPr>
            <w:color w:val="0000EE"/>
            <w:u w:val="single"/>
          </w:rPr>
          <w:t>6:20</w:t>
        </w:r>
      </w:hyperlink>
      <w:r>
        <w:rPr>
          <w:lang w:val="fr_FR" w:bidi="fr_FR"/>
        </w:rPr>
        <w:t xml:space="preserve">; </w:t>
      </w:r>
      <w:hyperlink r:id="rId41">
        <w:r>
          <w:rPr>
            <w:lang w:val="fr_FR" w:bidi="fr_FR"/>
          </w:rPr>
          <w:rPr>
            <w:color w:val="0000EE"/>
            <w:u w:val="single"/>
          </w:rPr>
          <w:t>2 Timothée 1:12–14</w:t>
        </w:r>
      </w:hyperlink>
      <w:r>
        <w:rPr>
          <w:lang w:val="fr_FR" w:bidi="fr_FR"/>
        </w:rPr>
        <w:t xml:space="preserve">; </w:t>
      </w:r>
      <w:hyperlink r:id="rId42">
        <w:r>
          <w:rPr>
            <w:lang w:val="fr_FR" w:bidi="fr_FR"/>
          </w:rPr>
          <w:rPr>
            <w:color w:val="0000EE"/>
            <w:u w:val="single"/>
          </w:rPr>
          <w:t>2:2</w:t>
        </w:r>
      </w:hyperlink>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3">
        <w:r>
          <w:rPr>
            <w:lang w:val="fr_FR" w:bidi="fr_FR"/>
          </w:rPr>
          <w:rPr>
            <w:color w:val="0000EE"/>
            <w:u w:val="single"/>
          </w:rPr>
          <w:t>2:10–11</w:t>
        </w:r>
      </w:hyperlink>
      <w:r>
        <w:rPr>
          <w:lang w:val="fr_FR" w:bidi="fr_FR"/>
        </w:rPr>
        <w:t xml:space="preserve">; </w:t>
      </w:r>
      <w:hyperlink r:id="rId44">
        <w:r>
          <w:rPr>
            <w:lang w:val="fr_FR" w:bidi="fr_FR"/>
          </w:rPr>
          <w:rPr>
            <w:color w:val="0000EE"/>
            <w:u w:val="single"/>
          </w:rPr>
          <w:t>3:2–3</w:t>
        </w:r>
      </w:hyperlink>
      <w:r>
        <w:rPr>
          <w:lang w:val="fr_FR" w:bidi="fr_FR"/>
        </w:rPr>
        <w:t xml:space="preserve">, </w:t>
      </w:r>
      <w:hyperlink r:id="rId45">
        <w:r>
          <w:rPr>
            <w:lang w:val="fr_FR" w:bidi="fr_FR"/>
          </w:rPr>
          <w:rPr>
            <w:color w:val="0000EE"/>
            <w:u w:val="single"/>
          </w:rPr>
          <w:t>8</w:t>
        </w:r>
      </w:hyperlink>
      <w:r>
        <w:rPr>
          <w:lang w:val="fr_FR" w:bidi="fr_FR"/>
        </w:rPr>
        <w:t xml:space="preserve">; voir </w:t>
      </w:r>
      <w:hyperlink r:id="rId46">
        <w:r>
          <w:rPr>
            <w:lang w:val="fr_FR" w:bidi="fr_FR"/>
          </w:rPr>
          <w:rPr>
            <w:color w:val="0000EE"/>
            <w:u w:val="single"/>
          </w:rPr>
          <w:t>Matthieu 5:14–16</w:t>
        </w:r>
      </w:hyperlink>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4">
        <w:r>
          <w:rPr>
            <w:lang w:val="fr_FR" w:bidi="fr_FR"/>
          </w:rPr>
          <w:rPr>
            <w:color w:val="0000EE"/>
            <w:u w:val="single"/>
          </w:rPr>
          <w:t>Tite 2:1–15</w:t>
        </w:r>
      </w:hyperlink>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5">
        <w:r>
          <w:rPr>
            <w:lang w:val="fr_FR" w:bidi="fr_FR"/>
          </w:rPr>
          <w:rPr>
            <w:color w:val="0000EE"/>
            <w:u w:val="single"/>
          </w:rPr>
          <w:t>3:1–11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