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hyperlink r:id="rId13">
        <w:r>
          <w:rPr>
            <w:lang w:val="hi_IN" w:bidi="hi_IN"/>
          </w:rPr>
          <w:rPr>
            <w:color w:val="0000EE"/>
            <w:u w:val="single"/>
          </w:rPr>
          <w:t>1:1–10:10</w:t>
        </w:r>
      </w:hyperlink>
      <w:r>
        <w:rPr>
          <w:lang w:val="hi_IN" w:bidi="hi_IN"/>
        </w:rPr>
        <w:t>), (2) सीनै से मोआब के मैदानों तक उनतालीस वर्षों की यात्रा (</w:t>
      </w:r>
      <w:hyperlink r:id="rId14">
        <w:r>
          <w:rPr>
            <w:lang w:val="hi_IN" w:bidi="hi_IN"/>
          </w:rPr>
          <w:rPr>
            <w:color w:val="0000EE"/>
            <w:u w:val="single"/>
          </w:rPr>
          <w:t>10:11–22:1</w:t>
        </w:r>
      </w:hyperlink>
      <w:r>
        <w:rPr>
          <w:lang w:val="hi_IN" w:bidi="hi_IN"/>
        </w:rPr>
        <w:t>), और (3) कनान में प्रवेश करने से ठीक पहले मोआब के मैदानों पर इस्राएल के डेरे के अंतिम महीने (</w:t>
      </w:r>
      <w:hyperlink r:id="rId15">
        <w:r>
          <w:rPr>
            <w:lang w:val="hi_IN" w:bidi="hi_IN"/>
          </w:rPr>
          <w:rPr>
            <w:color w:val="0000EE"/>
            <w:u w:val="single"/>
          </w:rPr>
          <w:t>21:1–36:13</w:t>
        </w:r>
      </w:hyperlink>
      <w:r>
        <w:rPr>
          <w:lang w:val="hi_IN" w:bidi="hi_IN"/>
        </w:rPr>
        <w:t>)।</w:t>
      </w:r>
    </w:p>
    <w:p>
      <w:pPr/>
      <w:r>
        <w:rPr>
          <w:lang w:val="hi_IN" w:bidi="hi_IN"/>
        </w:rPr>
      </w:r>
      <w:r>
        <w:rPr>
          <w:lang w:val="hi_IN" w:bidi="hi_IN"/>
        </w:rPr>
        <w:t xml:space="preserve">इस्राएल के सैन्य आयु के पुरुषों के दो पंजीकरण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hyperlink r:id="rId18">
        <w:r>
          <w:rPr>
            <w:lang w:val="hi_IN" w:bidi="hi_IN"/>
          </w:rPr>
          <w:rPr>
            <w:color w:val="0000EE"/>
            <w:u w:val="single"/>
          </w:rPr>
          <w:t>11</w:t>
        </w:r>
      </w:hyperlink>
      <w:r>
        <w:rPr>
          <w:lang w:val="hi_IN" w:bidi="hi_IN"/>
        </w:rPr>
        <w:t xml:space="preserve">, </w:t>
      </w:r>
      <w:hyperlink r:id="rId19">
        <w:r>
          <w:rPr>
            <w:lang w:val="hi_IN" w:bidi="hi_IN"/>
          </w:rPr>
          <w:rPr>
            <w:color w:val="0000EE"/>
            <w:u w:val="single"/>
          </w:rPr>
          <w:t>12</w:t>
        </w:r>
      </w:hyperlink>
      <w:r>
        <w:rPr>
          <w:lang w:val="hi_IN" w:bidi="hi_IN"/>
        </w:rPr>
        <w:t xml:space="preserve">,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16–17</w:t>
        </w:r>
      </w:hyperlink>
      <w:r>
        <w:rPr>
          <w:lang w:val="hi_IN" w:bidi="hi_IN"/>
        </w:rPr>
        <w:t xml:space="preserve">, </w:t>
      </w:r>
      <w:hyperlink r:id="rId22">
        <w:r>
          <w:rPr>
            <w:lang w:val="hi_IN" w:bidi="hi_IN"/>
          </w:rPr>
          <w:rPr>
            <w:color w:val="0000EE"/>
            <w:u w:val="single"/>
          </w:rPr>
          <w:t>20</w:t>
        </w:r>
      </w:hyperlink>
      <w:r>
        <w:rPr>
          <w:lang w:val="hi_IN" w:bidi="hi_IN"/>
        </w:rPr>
        <w:t xml:space="preserve">, </w:t>
      </w:r>
      <w:hyperlink r:id="rId23">
        <w:r>
          <w:rPr>
            <w:lang w:val="hi_IN" w:bidi="hi_IN"/>
          </w:rPr>
          <w:rPr>
            <w:color w:val="0000EE"/>
            <w:u w:val="single"/>
          </w:rPr>
          <w:t>25</w:t>
        </w:r>
      </w:hyperlink>
      <w:r>
        <w:rPr>
          <w:lang w:val="hi_IN" w:bidi="hi_IN"/>
        </w:rPr>
        <w:t>)। यहोशू और कालेब को छोड़कर वे सभी जंगल में मर गए, जिनका विश्वास अनुकरणीय था (</w:t>
      </w:r>
      <w:hyperlink r:id="rId24">
        <w:r>
          <w:rPr>
            <w:lang w:val="hi_IN" w:bidi="hi_IN"/>
          </w:rPr>
          <w:rPr>
            <w:color w:val="0000EE"/>
            <w:u w:val="single"/>
          </w:rPr>
          <w:t>13:30</w:t>
        </w:r>
      </w:hyperlink>
      <w:r>
        <w:rPr>
          <w:lang w:val="hi_IN" w:bidi="hi_IN"/>
        </w:rPr>
        <w:t xml:space="preserve">; </w:t>
      </w:r>
      <w:hyperlink r:id="rId25">
        <w:r>
          <w:rPr>
            <w:lang w:val="hi_IN" w:bidi="hi_IN"/>
          </w:rPr>
          <w:rPr>
            <w:color w:val="0000EE"/>
            <w:u w:val="single"/>
          </w:rPr>
          <w:t>14:6–9</w:t>
        </w:r>
      </w:hyperlink>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hyperlink r:id="rId20">
        <w:r>
          <w:rPr>
            <w:lang w:val="hi_IN" w:bidi="hi_IN"/>
          </w:rPr>
          <w:rPr>
            <w:color w:val="0000EE"/>
            <w:u w:val="single"/>
          </w:rPr>
          <w:t>14</w:t>
        </w:r>
      </w:hyperlink>
      <w:r>
        <w:rPr>
          <w:lang w:val="hi_IN" w:bidi="hi_IN"/>
        </w:rPr>
        <w:t xml:space="preserve">, </w:t>
      </w:r>
      <w:hyperlink r:id="rId26">
        <w:r>
          <w:rPr>
            <w:lang w:val="hi_IN" w:bidi="hi_IN"/>
          </w:rPr>
          <w:rPr>
            <w:color w:val="0000EE"/>
            <w:u w:val="single"/>
          </w:rPr>
          <w:t>21</w:t>
        </w:r>
      </w:hyperlink>
      <w:r>
        <w:rPr>
          <w:lang w:val="hi_IN" w:bidi="hi_IN"/>
        </w:rPr>
        <w:t xml:space="preserve">, </w:t>
      </w:r>
      <w:hyperlink r:id="rId27">
        <w:r>
          <w:rPr>
            <w:lang w:val="hi_IN" w:bidi="hi_IN"/>
          </w:rPr>
          <w:rPr>
            <w:color w:val="0000EE"/>
            <w:u w:val="single"/>
          </w:rPr>
          <w:t>31</w:t>
        </w:r>
      </w:hyperlink>
      <w:r>
        <w:rPr>
          <w:lang w:val="hi_IN" w:bidi="hi_IN"/>
        </w:rPr>
        <w:t xml:space="preserve">), और बिलाम की कहानी सुनाई गई (अध्याय </w:t>
      </w:r>
      <w:hyperlink r:id="rId28">
        <w:r>
          <w:rPr>
            <w:lang w:val="hi_IN" w:bidi="hi_IN"/>
          </w:rPr>
          <w:rPr>
            <w:color w:val="0000EE"/>
            <w:u w:val="single"/>
          </w:rPr>
          <w:t>22–24</w:t>
        </w:r>
      </w:hyperlink>
      <w:r>
        <w:rPr>
          <w:lang w:val="hi_IN" w:bidi="hi_IN"/>
        </w:rPr>
        <w:t xml:space="preserve">)। यरदन पार में बसने की व्यवस्था की गई (अध्याय </w:t>
      </w:r>
      <w:hyperlink r:id="rId29">
        <w:r>
          <w:rPr>
            <w:lang w:val="hi_IN" w:bidi="hi_IN"/>
          </w:rPr>
          <w:rPr>
            <w:color w:val="0000EE"/>
            <w:u w:val="single"/>
          </w:rPr>
          <w:t>32</w:t>
        </w:r>
      </w:hyperlink>
      <w:r>
        <w:rPr>
          <w:lang w:val="hi_IN" w:bidi="hi_IN"/>
        </w:rPr>
        <w:t xml:space="preserve">), जंगल की यात्रा की समीक्षा की गई (अध्याय </w:t>
      </w:r>
      <w:hyperlink r:id="rId30">
        <w:r>
          <w:rPr>
            <w:lang w:val="hi_IN" w:bidi="hi_IN"/>
          </w:rPr>
          <w:rPr>
            <w:color w:val="0000EE"/>
            <w:u w:val="single"/>
          </w:rPr>
          <w:t>33</w:t>
        </w:r>
      </w:hyperlink>
      <w:r>
        <w:rPr>
          <w:lang w:val="hi_IN" w:bidi="hi_IN"/>
        </w:rPr>
        <w:t xml:space="preserve">), और मूसा ने कनान पर कब्ज़ा करने का अनुमान लगाया (अध्याय </w:t>
      </w:r>
      <w:hyperlink r:id="rId31">
        <w:r>
          <w:rPr>
            <w:lang w:val="hi_IN" w:bidi="hi_IN"/>
          </w:rPr>
          <w:rPr>
            <w:color w:val="0000EE"/>
            <w:u w:val="single"/>
          </w:rPr>
          <w:t>34–36</w:t>
        </w:r>
      </w:hyperlink>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2">
        <w:r>
          <w:rPr>
            <w:lang w:val="hi_IN" w:bidi="hi_IN"/>
          </w:rPr>
          <w:rPr>
            <w:color w:val="0000EE"/>
            <w:u w:val="single"/>
          </w:rPr>
          <w:t>गिन 33:1–2</w:t>
        </w:r>
      </w:hyperlink>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3">
        <w:r>
          <w:rPr>
            <w:lang w:val="hi_IN" w:bidi="hi_IN"/>
          </w:rPr>
          <w:rPr>
            <w:color w:val="0000EE"/>
            <w:u w:val="single"/>
          </w:rPr>
          <w:t>व्य.वि. 34</w:t>
        </w:r>
      </w:hyperlink>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उत्पत्ति पुस्तक परिचय,</w:t>
      </w:r>
      <w:r>
        <w:rPr>
          <w:lang w:val="hi_IN" w:bidi="hi_IN"/>
        </w:rPr>
        <w:t xml:space="preserve"> "लेखकत्व")।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4">
        <w:r>
          <w:rPr>
            <w:lang w:val="hi_IN" w:bidi="hi_IN"/>
          </w:rPr>
          <w:rPr>
            <w:color w:val="0000EE"/>
            <w:u w:val="single"/>
          </w:rPr>
          <w:t>गिन 1:1</w:t>
        </w:r>
      </w:hyperlink>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hyperlink r:id="rId35">
        <w:r>
          <w:rPr>
            <w:lang w:val="hi_IN" w:bidi="hi_IN"/>
          </w:rPr>
          <w:rPr>
            <w:color w:val="0000EE"/>
            <w:u w:val="single"/>
          </w:rPr>
          <w:t>10:11–14:45</w:t>
        </w:r>
      </w:hyperlink>
      <w:r>
        <w:rPr>
          <w:lang w:val="hi_IN" w:bidi="hi_IN"/>
        </w:rPr>
        <w:t xml:space="preserve">), कविता (उदा., अध्याय </w:t>
      </w:r>
      <w:hyperlink r:id="rId36">
        <w:r>
          <w:rPr>
            <w:lang w:val="hi_IN" w:bidi="hi_IN"/>
          </w:rPr>
          <w:rPr>
            <w:color w:val="0000EE"/>
            <w:u w:val="single"/>
          </w:rPr>
          <w:t>23–24</w:t>
        </w:r>
      </w:hyperlink>
      <w:r>
        <w:rPr>
          <w:lang w:val="hi_IN" w:bidi="hi_IN"/>
        </w:rPr>
        <w:t xml:space="preserve">), और कानून (उदा., अध्याय </w:t>
      </w:r>
      <w:hyperlink r:id="rId37">
        <w:r>
          <w:rPr>
            <w:lang w:val="hi_IN" w:bidi="hi_IN"/>
          </w:rPr>
          <w:rPr>
            <w:color w:val="0000EE"/>
            <w:u w:val="single"/>
          </w:rPr>
          <w:t>4–6</w:t>
        </w:r>
      </w:hyperlink>
      <w:r>
        <w:rPr>
          <w:lang w:val="hi_IN" w:bidi="hi_IN"/>
        </w:rPr>
        <w:t xml:space="preserve">)। इसमें तथ्यों और आंकड़ों की विस्तृत सूचियाँ भी शामिल हैं, जैसे पंजीकरण गणना (उदा., अध्याय </w:t>
      </w:r>
      <w:hyperlink r:id="rId16">
        <w:r>
          <w:rPr>
            <w:lang w:val="hi_IN" w:bidi="hi_IN"/>
          </w:rPr>
          <w:rPr>
            <w:color w:val="0000EE"/>
            <w:u w:val="single"/>
          </w:rPr>
          <w:t>1–4</w:t>
        </w:r>
      </w:hyperlink>
      <w:r>
        <w:rPr>
          <w:lang w:val="hi_IN" w:bidi="hi_IN"/>
        </w:rPr>
        <w:t xml:space="preserve">), भेंट (उदा., अध्याय </w:t>
      </w:r>
      <w:hyperlink r:id="rId38">
        <w:r>
          <w:rPr>
            <w:lang w:val="hi_IN" w:bidi="hi_IN"/>
          </w:rPr>
          <w:rPr>
            <w:color w:val="0000EE"/>
            <w:u w:val="single"/>
          </w:rPr>
          <w:t>7</w:t>
        </w:r>
      </w:hyperlink>
      <w:r>
        <w:rPr>
          <w:lang w:val="hi_IN" w:bidi="hi_IN"/>
        </w:rPr>
        <w:t xml:space="preserve">), और यात्रा कार्यक्रम (उदा., अध्याय </w:t>
      </w:r>
      <w:hyperlink r:id="rId30">
        <w:r>
          <w:rPr>
            <w:lang w:val="hi_IN" w:bidi="hi_IN"/>
          </w:rPr>
          <w:rPr>
            <w:color w:val="0000EE"/>
            <w:u w:val="single"/>
          </w:rPr>
          <w:t>33</w:t>
        </w:r>
      </w:hyperlink>
      <w:r>
        <w:rPr>
          <w:lang w:val="hi_IN" w:bidi="hi_IN"/>
        </w:rPr>
        <w:t xml:space="preserve">)। एन.एल.टी विभिन्न गद्य सूचियों को नामों और गिनती की संक्षिप्त तालिकाओं में संकलित करता है (अध्याय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13</w:t>
        </w:r>
      </w:hyperlink>
      <w:r>
        <w:rPr>
          <w:lang w:val="hi_IN" w:bidi="hi_IN"/>
        </w:rPr>
        <w:t xml:space="preserve">, </w:t>
      </w:r>
      <w:hyperlink r:id="rId41">
        <w:r>
          <w:rPr>
            <w:lang w:val="hi_IN" w:bidi="hi_IN"/>
          </w:rPr>
          <w:rPr>
            <w:color w:val="0000EE"/>
            <w:u w:val="single"/>
          </w:rPr>
          <w:t>34</w:t>
        </w:r>
      </w:hyperlink>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hyperlink r:id="rId42">
        <w:r>
          <w:rPr>
            <w:lang w:val="hi_IN" w:bidi="hi_IN"/>
          </w:rPr>
          <w:rPr>
            <w:color w:val="0000EE"/>
            <w:u w:val="single"/>
          </w:rPr>
          <w:t>21:14–15</w:t>
        </w:r>
      </w:hyperlink>
      <w:r>
        <w:rPr>
          <w:lang w:val="hi_IN" w:bidi="hi_IN"/>
        </w:rPr>
        <w:t>), "कुएं का गीत" (</w:t>
      </w:r>
      <w:hyperlink r:id="rId43">
        <w:r>
          <w:rPr>
            <w:lang w:val="hi_IN" w:bidi="hi_IN"/>
          </w:rPr>
          <w:rPr>
            <w:color w:val="0000EE"/>
            <w:u w:val="single"/>
          </w:rPr>
          <w:t>21:17–18</w:t>
        </w:r>
      </w:hyperlink>
      <w:r>
        <w:rPr>
          <w:lang w:val="hi_IN" w:bidi="hi_IN"/>
        </w:rPr>
        <w:t>), और "हेशबोन का गीत" (</w:t>
      </w:r>
      <w:hyperlink r:id="rId44">
        <w:r>
          <w:rPr>
            <w:lang w:val="hi_IN" w:bidi="hi_IN"/>
          </w:rPr>
          <w:rPr>
            <w:color w:val="0000EE"/>
            <w:u w:val="single"/>
          </w:rPr>
          <w:t>21:27–30</w:t>
        </w:r>
      </w:hyperlink>
      <w:r>
        <w:rPr>
          <w:lang w:val="hi_IN" w:bidi="hi_IN"/>
        </w:rPr>
        <w:t xml:space="preserve">)। अध्याय </w:t>
      </w:r>
      <w:hyperlink r:id="rId36">
        <w:r>
          <w:rPr>
            <w:lang w:val="hi_IN" w:bidi="hi_IN"/>
          </w:rPr>
          <w:rPr>
            <w:color w:val="0000EE"/>
            <w:u w:val="single"/>
          </w:rPr>
          <w:t>23–24</w:t>
        </w:r>
      </w:hyperlink>
      <w:r>
        <w:rPr>
          <w:lang w:val="hi_IN" w:bidi="hi_IN"/>
        </w:rPr>
        <w:t xml:space="preserve"> में गैर-इस्राएली भविष्यद्वक्ता बिलाम की कई काव्य पंक्तियाँ हैं; अध्याय </w:t>
      </w:r>
      <w:hyperlink r:id="rId45">
        <w:r>
          <w:rPr>
            <w:lang w:val="hi_IN" w:bidi="hi_IN"/>
          </w:rPr>
          <w:rPr>
            <w:color w:val="0000EE"/>
            <w:u w:val="single"/>
          </w:rPr>
          <w:t>31:32–47</w:t>
        </w:r>
      </w:hyperlink>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hyperlink r:id="rId30">
        <w:r>
          <w:rPr>
            <w:lang w:val="hi_IN" w:bidi="hi_IN"/>
          </w:rPr>
          <w:rPr>
            <w:color w:val="0000EE"/>
            <w:u w:val="single"/>
          </w:rPr>
          <w:t>33</w:t>
        </w:r>
      </w:hyperlink>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hyperlink r:id="rId46">
        <w:r>
          <w:rPr>
            <w:lang w:val="hi_IN" w:bidi="hi_IN"/>
          </w:rPr>
          <w:rPr>
            <w:color w:val="0000EE"/>
            <w:u w:val="single"/>
          </w:rPr>
          <w:t>21–24</w:t>
        </w:r>
      </w:hyperlink>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hyperlink r:id="rId47">
        <w:r>
          <w:rPr>
            <w:lang w:val="hi_IN" w:bidi="hi_IN"/>
          </w:rPr>
          <w:rPr>
            <w:color w:val="0000EE"/>
            <w:u w:val="single"/>
          </w:rPr>
          <w:t>1 कुरिन्थियों 10:1–11</w:t>
        </w:r>
      </w:hyperlink>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48">
        <w:r>
          <w:rPr>
            <w:lang w:val="hi_IN" w:bidi="hi_IN"/>
          </w:rPr>
          <w:rPr>
            <w:color w:val="0000EE"/>
            <w:u w:val="single"/>
          </w:rPr>
          <w:t>1 कुरि 10:9</w:t>
        </w:r>
      </w:hyperlink>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49">
        <w:r>
          <w:rPr>
            <w:lang w:val="hi_IN" w:bidi="hi_IN"/>
          </w:rPr>
          <w:rPr>
            <w:color w:val="0000EE"/>
            <w:u w:val="single"/>
          </w:rPr>
          <w:t>इब्रा 3:7–4:11</w:t>
        </w:r>
      </w:hyperlink>
      <w:r>
        <w:rPr>
          <w:lang w:val="hi_IN" w:bidi="hi_IN"/>
        </w:rPr>
        <w:t xml:space="preserve">)। ये पद, जो </w:t>
      </w:r>
      <w:hyperlink r:id="rId50">
        <w:r>
          <w:rPr>
            <w:lang w:val="hi_IN" w:bidi="hi_IN"/>
          </w:rPr>
          <w:rPr>
            <w:color w:val="0000EE"/>
            <w:u w:val="single"/>
          </w:rPr>
          <w:t xml:space="preserve">भजन संहिता 95 </w:t>
        </w:r>
      </w:hyperlink>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hyperlink r:id="rId51">
        <w:r>
          <w:rPr>
            <w:lang w:val="hi_IN" w:bidi="hi_IN"/>
          </w:rPr>
          <w:rPr>
            <w:color w:val="0000EE"/>
            <w:u w:val="single"/>
          </w:rPr>
          <w:t>यहूदा 1:5</w:t>
        </w:r>
      </w:hyperlink>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