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2"/>
      </w:pPr>
      <w:r>
        <w:rPr>
          <w:lang w:val="hi_IN" w:bidi="hi_IN"/>
        </w:rPr>
        <w:t>पृष्ठभूमि</w:t>
      </w:r>
    </w:p>
    <w:p>
      <w:pPr/>
      <w:r>
        <w:rPr>
          <w:lang w:val="hi_IN" w:bidi="hi_IN"/>
        </w:rPr>
      </w:r>
      <w:r>
        <w:rPr>
          <w:lang w:val="hi_IN" w:bidi="hi_IN"/>
        </w:rP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lang w:val="hi_IN" w:bidi="hi_IN"/>
        </w:rPr>
        <w:t>ला चांसन डे रोलैंड</w:t>
      </w:r>
      <w:r>
        <w:rPr>
          <w:lang w:val="hi_IN" w:bidi="hi_IN"/>
        </w:rP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pPr/>
      <w:r>
        <w:rPr>
          <w:lang w:val="hi_IN" w:bidi="hi_IN"/>
        </w:rPr>
      </w:r>
      <w:r>
        <w:rPr>
          <w:lang w:val="hi_IN" w:bidi="hi_IN"/>
        </w:rP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pPr/>
      <w:r>
        <w:rPr>
          <w:lang w:val="hi_IN" w:bidi="hi_IN"/>
        </w:rPr>
      </w:r>
      <w:r>
        <w:rPr>
          <w:lang w:val="hi_IN" w:bidi="hi_IN"/>
        </w:rPr>
        <w:t>न्यायियों के अनुसार, इस्राएल की कमियों के दो स्रोत थे। पहला, प्रस्तावनाएं (</w:t>
      </w:r>
      <w:hyperlink r:id="rId13">
        <w:r>
          <w:rPr>
            <w:lang w:val="hi_IN" w:bidi="hi_IN"/>
          </w:rPr>
          <w:rPr>
            <w:color w:val="0000EE"/>
            <w:u w:val="single"/>
          </w:rPr>
          <w:t>1:1–2:5</w:t>
        </w:r>
      </w:hyperlink>
      <w:r>
        <w:rPr>
          <w:lang w:val="hi_IN" w:bidi="hi_IN"/>
        </w:rPr>
        <w:t xml:space="preserve"> और </w:t>
      </w:r>
      <w:hyperlink r:id="rId14">
        <w:r>
          <w:rPr>
            <w:lang w:val="hi_IN" w:bidi="hi_IN"/>
          </w:rPr>
          <w:rPr>
            <w:color w:val="0000EE"/>
            <w:u w:val="single"/>
          </w:rPr>
          <w:t>2:6–3:6</w:t>
        </w:r>
      </w:hyperlink>
      <w:r>
        <w:rPr>
          <w:lang w:val="hi_IN" w:bidi="hi_IN"/>
        </w:rP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hyperlink r:id="rId15">
        <w:r>
          <w:rPr>
            <w:lang w:val="hi_IN" w:bidi="hi_IN"/>
          </w:rPr>
          <w:rPr>
            <w:color w:val="0000EE"/>
            <w:u w:val="single"/>
          </w:rPr>
          <w:t>17–21</w:t>
        </w:r>
      </w:hyperlink>
      <w:r>
        <w:rPr>
          <w:lang w:val="hi_IN" w:bidi="hi_IN"/>
        </w:rPr>
        <w:t>) में प्रमुखता से उभरता है और इसे बार-बार दोहराए गए वाक्य में संक्षेपित किया गया है “</w:t>
      </w:r>
      <w:r>
        <w:rPr>
          <w:lang w:val="hi_IN" w:bidi="hi_IN"/>
        </w:rPr>
        <w:t>उन दिनों में इस्राएलियों का कोई राजा न था; जिसको जो ठीक जान पड़ता था वही वह करता था</w:t>
      </w:r>
      <w:r>
        <w:rPr>
          <w:lang w:val="hi_IN" w:bidi="hi_IN"/>
        </w:rPr>
        <w:t>”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pPr/>
      <w:r>
        <w:rPr>
          <w:lang w:val="hi_IN" w:bidi="hi_IN"/>
        </w:rPr>
      </w:r>
      <w:r>
        <w:rPr>
          <w:lang w:val="hi_IN" w:bidi="hi_IN"/>
        </w:rP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hyperlink r:id="rId20">
        <w:r>
          <w:rPr>
            <w:lang w:val="hi_IN" w:bidi="hi_IN"/>
          </w:rPr>
          <w:rPr>
            <w:color w:val="0000EE"/>
            <w:u w:val="single"/>
          </w:rPr>
          <w:t>2:16–19</w:t>
        </w:r>
      </w:hyperlink>
      <w:r>
        <w:rPr>
          <w:lang w:val="hi_IN" w:bidi="hi_IN"/>
        </w:rP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2"/>
      </w:pPr>
      <w:r>
        <w:rPr>
          <w:lang w:val="hi_IN" w:bidi="hi_IN"/>
        </w:rPr>
        <w:t>सारांश</w:t>
      </w:r>
    </w:p>
    <w:p>
      <w:pPr/>
      <w:r>
        <w:rPr>
          <w:lang w:val="hi_IN" w:bidi="hi_IN"/>
        </w:rPr>
      </w:r>
      <w:r>
        <w:rPr>
          <w:lang w:val="hi_IN" w:bidi="hi_IN"/>
        </w:rP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hyperlink r:id="rId21">
        <w:r>
          <w:rPr>
            <w:lang w:val="hi_IN" w:bidi="hi_IN"/>
          </w:rPr>
          <w:rPr>
            <w:color w:val="0000EE"/>
            <w:u w:val="single"/>
          </w:rPr>
          <w:t>यहोशू 24:28–31</w:t>
        </w:r>
      </w:hyperlink>
      <w:r>
        <w:rPr>
          <w:lang w:val="hi_IN" w:bidi="hi_IN"/>
        </w:rPr>
        <w:t xml:space="preserve"> से कथा को आगे बढ़ाती है। पहली प्रस्तावना (</w:t>
      </w:r>
      <w:hyperlink r:id="rId13">
        <w:r>
          <w:rPr>
            <w:lang w:val="hi_IN" w:bidi="hi_IN"/>
          </w:rPr>
          <w:rPr>
            <w:color w:val="0000EE"/>
            <w:u w:val="single"/>
          </w:rPr>
          <w:t>न्या 1:1–2:5</w:t>
        </w:r>
      </w:hyperlink>
      <w:r>
        <w:rPr>
          <w:lang w:val="hi_IN" w:bidi="hi_IN"/>
        </w:rP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hyperlink r:id="rId22">
        <w:r>
          <w:rPr>
            <w:lang w:val="hi_IN" w:bidi="hi_IN"/>
          </w:rPr>
          <w:rPr>
            <w:color w:val="0000EE"/>
            <w:u w:val="single"/>
          </w:rPr>
          <w:t>2:1–3</w:t>
        </w:r>
      </w:hyperlink>
      <w:r>
        <w:rPr>
          <w:lang w:val="hi_IN" w:bidi="hi_IN"/>
        </w:rPr>
        <w:t>)।</w:t>
      </w:r>
    </w:p>
    <w:p>
      <w:pPr/>
      <w:r>
        <w:rPr>
          <w:lang w:val="hi_IN" w:bidi="hi_IN"/>
        </w:rPr>
      </w:r>
      <w:r>
        <w:rPr>
          <w:lang w:val="hi_IN" w:bidi="hi_IN"/>
        </w:rPr>
        <w:t>दूसरी प्रस्तावना (</w:t>
      </w:r>
      <w:hyperlink r:id="rId14">
        <w:r>
          <w:rPr>
            <w:lang w:val="hi_IN" w:bidi="hi_IN"/>
          </w:rPr>
          <w:rPr>
            <w:color w:val="0000EE"/>
            <w:u w:val="single"/>
          </w:rPr>
          <w:t>2:6–3:6</w:t>
        </w:r>
      </w:hyperlink>
      <w:r>
        <w:rPr>
          <w:lang w:val="hi_IN" w:bidi="hi_IN"/>
        </w:rP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rPr>
          <w:lang w:val="hi_IN" w:bidi="hi_IN"/>
        </w:rPr>
        <w:t>जो दूसरी पीढ़ी हुई उसके लोग न तो यहोवा को जानते थे और न उस काम को जो उसने इस्राएल के लिये किया था</w:t>
      </w:r>
      <w:r>
        <w:rPr>
          <w:lang w:val="hi_IN" w:bidi="hi_IN"/>
        </w:rPr>
        <w:t>" (</w:t>
      </w:r>
      <w:hyperlink r:id="rId23">
        <w:r>
          <w:rPr>
            <w:lang w:val="hi_IN" w:bidi="hi_IN"/>
          </w:rPr>
          <w:rPr>
            <w:color w:val="0000EE"/>
            <w:u w:val="single"/>
          </w:rPr>
          <w:t>2:10</w:t>
        </w:r>
      </w:hyperlink>
      <w:r>
        <w:rPr>
          <w:lang w:val="hi_IN" w:bidi="hi_IN"/>
        </w:rP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hyperlink r:id="rId24">
        <w:r>
          <w:rPr>
            <w:lang w:val="hi_IN" w:bidi="hi_IN"/>
          </w:rPr>
          <w:rPr>
            <w:color w:val="0000EE"/>
            <w:u w:val="single"/>
          </w:rPr>
          <w:t>2:16</w:t>
        </w:r>
      </w:hyperlink>
      <w:r>
        <w:rPr>
          <w:lang w:val="hi_IN" w:bidi="hi_IN"/>
        </w:rPr>
        <w:t xml:space="preserve">), जिसका प्रमाण प्रतिज्ञा की भूमि का विश्वासपूर्वक अधिकार होगा। </w:t>
      </w:r>
      <w:hyperlink r:id="rId25">
        <w:r>
          <w:rPr>
            <w:lang w:val="hi_IN" w:bidi="hi_IN"/>
          </w:rPr>
          <w:rPr>
            <w:color w:val="0000EE"/>
            <w:u w:val="single"/>
          </w:rPr>
          <w:t>न्यायियों 3:1–6</w:t>
        </w:r>
      </w:hyperlink>
      <w:r>
        <w:rPr>
          <w:lang w:val="hi_IN" w:bidi="hi_IN"/>
        </w:rPr>
        <w:t>, पहले प्रस्तावना के समापन की तरह, पहले ही पाठकों को बता देता है कि यह प्रयास अन्ततः असफलता में समाप्त होगा।</w:t>
      </w:r>
    </w:p>
    <w:p>
      <w:pPr/>
      <w:r>
        <w:rPr>
          <w:lang w:val="hi_IN" w:bidi="hi_IN"/>
        </w:rPr>
      </w:r>
      <w:r>
        <w:rPr>
          <w:lang w:val="hi_IN" w:bidi="hi_IN"/>
        </w:rPr>
        <w:t>केंद्रीय खण्ड (</w:t>
      </w:r>
      <w:hyperlink r:id="rId26">
        <w:r>
          <w:rPr>
            <w:lang w:val="hi_IN" w:bidi="hi_IN"/>
          </w:rPr>
          <w:rPr>
            <w:color w:val="0000EE"/>
            <w:u w:val="single"/>
          </w:rPr>
          <w:t>3:7–16:31</w:t>
        </w:r>
      </w:hyperlink>
      <w:r>
        <w:rPr>
          <w:lang w:val="hi_IN" w:bidi="hi_IN"/>
        </w:rP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hyperlink r:id="rId27">
        <w:r>
          <w:rPr>
            <w:lang w:val="hi_IN" w:bidi="hi_IN"/>
          </w:rPr>
          <w:rPr>
            <w:color w:val="0000EE"/>
            <w:u w:val="single"/>
          </w:rPr>
          <w:t>9</w:t>
        </w:r>
      </w:hyperlink>
      <w:r>
        <w:rPr>
          <w:lang w:val="hi_IN" w:bidi="hi_IN"/>
        </w:rP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rPr>
          <w:lang w:val="hi_IN" w:bidi="hi_IN"/>
        </w:rPr>
        <w:t>12:8</w:t>
      </w:r>
      <w:r>
        <w:rPr>
          <w:lang w:val="hi_IN" w:bidi="hi_IN"/>
        </w:rPr>
        <w:t xml:space="preserve"> पर)। पूरी पुस्तक में अराजकता की ओर बढ़ता क्रम यह दर्शाता है कि इस्राएल को एक अधिक केंद्रीकृत समाज की आवश्यकता थी</w:t>
      </w:r>
    </w:p>
    <w:p>
      <w:pPr/>
      <w:r>
        <w:rPr>
          <w:lang w:val="hi_IN" w:bidi="hi_IN"/>
        </w:rPr>
      </w:r>
      <w:r>
        <w:rPr>
          <w:lang w:val="hi_IN" w:bidi="hi_IN"/>
        </w:rPr>
        <w:t xml:space="preserve">न्यायियों की पुस्तक दो उपसंहारों (अध्याय </w:t>
      </w:r>
      <w:hyperlink r:id="rId28">
        <w:r>
          <w:rPr>
            <w:lang w:val="hi_IN" w:bidi="hi_IN"/>
          </w:rPr>
          <w:rPr>
            <w:color w:val="0000EE"/>
            <w:u w:val="single"/>
          </w:rPr>
          <w:t>17–18</w:t>
        </w:r>
      </w:hyperlink>
      <w:r>
        <w:rPr>
          <w:lang w:val="hi_IN" w:bidi="hi_IN"/>
        </w:rPr>
        <w:t xml:space="preserve">; </w:t>
      </w:r>
      <w:hyperlink r:id="rId29">
        <w:r>
          <w:rPr>
            <w:lang w:val="hi_IN" w:bidi="hi_IN"/>
          </w:rPr>
          <w:rPr>
            <w:color w:val="0000EE"/>
            <w:u w:val="single"/>
          </w:rPr>
          <w:t>19–21</w:t>
        </w:r>
      </w:hyperlink>
      <w:r>
        <w:rPr>
          <w:lang w:val="hi_IN" w:bidi="hi_IN"/>
        </w:rP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rPr>
          <w:lang w:val="hi_IN" w:bidi="hi_IN"/>
        </w:rPr>
        <w:t>उन दिनों में इस्राएलियों का कोई राजा न था</w:t>
      </w:r>
      <w:r>
        <w:rPr>
          <w:lang w:val="hi_IN" w:bidi="hi_IN"/>
        </w:rPr>
        <w:t>" और दो बार इसके साथ जोड़ा गया है, "</w:t>
      </w:r>
      <w:r>
        <w:rPr>
          <w:lang w:val="hi_IN" w:bidi="hi_IN"/>
        </w:rPr>
        <w:t>जिसको जो ठीक जान पड़ता था वही वह करता था</w:t>
      </w:r>
      <w:r>
        <w:rPr>
          <w:lang w:val="hi_IN" w:bidi="hi_IN"/>
        </w:rPr>
        <w:t xml:space="preserve">" (देखें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2"/>
      </w:pPr>
      <w:r>
        <w:rPr>
          <w:lang w:val="hi_IN" w:bidi="hi_IN"/>
        </w:rPr>
        <w:t>लेखक और रचना की तिथि</w:t>
      </w:r>
    </w:p>
    <w:p>
      <w:pPr/>
      <w:r>
        <w:rPr>
          <w:lang w:val="hi_IN" w:bidi="hi_IN"/>
        </w:rPr>
      </w:r>
      <w:r>
        <w:rPr>
          <w:lang w:val="hi_IN" w:bidi="hi_IN"/>
        </w:rP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pPr/>
      <w:r>
        <w:rPr>
          <w:lang w:val="hi_IN" w:bidi="hi_IN"/>
        </w:rPr>
      </w:r>
      <w:r>
        <w:rPr>
          <w:lang w:val="hi_IN" w:bidi="hi_IN"/>
        </w:rPr>
        <w:t>इस इतिहास के अन्तिम अध्याय से साक्ष्य (</w:t>
      </w:r>
      <w:hyperlink r:id="rId30">
        <w:r>
          <w:rPr>
            <w:lang w:val="hi_IN" w:bidi="hi_IN"/>
          </w:rPr>
          <w:rPr>
            <w:color w:val="0000EE"/>
            <w:u w:val="single"/>
          </w:rPr>
          <w:t>2 रा 25:27–30</w:t>
        </w:r>
      </w:hyperlink>
      <w:r>
        <w:rPr>
          <w:lang w:val="hi_IN" w:bidi="hi_IN"/>
        </w:rP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2"/>
      </w:pPr>
      <w:r>
        <w:rPr>
          <w:lang w:val="hi_IN" w:bidi="hi_IN"/>
        </w:rPr>
        <w:t>न्यायियों का कालक्रम</w:t>
      </w:r>
    </w:p>
    <w:p>
      <w:pPr/>
      <w:r>
        <w:rPr>
          <w:lang w:val="hi_IN" w:bidi="hi_IN"/>
        </w:rPr>
      </w:r>
      <w:r>
        <w:rPr>
          <w:lang w:val="hi_IN" w:bidi="hi_IN"/>
        </w:rP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hyperlink r:id="rId31">
        <w:r>
          <w:rPr>
            <w:lang w:val="hi_IN" w:bidi="hi_IN"/>
          </w:rPr>
          <w:rPr>
            <w:color w:val="0000EE"/>
            <w:u w:val="single"/>
          </w:rPr>
          <w:t>न्यायियों 11:26</w:t>
        </w:r>
      </w:hyperlink>
      <w:r>
        <w:rPr>
          <w:lang w:val="hi_IN" w:bidi="hi_IN"/>
        </w:rPr>
        <w:t xml:space="preserve"> और </w:t>
      </w:r>
      <w:hyperlink r:id="rId32">
        <w:r>
          <w:rPr>
            <w:lang w:val="hi_IN" w:bidi="hi_IN"/>
          </w:rPr>
          <w:rPr>
            <w:color w:val="0000EE"/>
            <w:u w:val="single"/>
          </w:rPr>
          <w:t>1 राजाओं 6:1</w:t>
        </w:r>
      </w:hyperlink>
      <w:r>
        <w:rPr>
          <w:lang w:val="hi_IN" w:bidi="hi_IN"/>
        </w:rP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pPr/>
      <w:r>
        <w:rPr>
          <w:lang w:val="hi_IN" w:bidi="hi_IN"/>
        </w:rPr>
      </w:r>
      <w:r>
        <w:rPr>
          <w:lang w:val="hi_IN" w:bidi="hi_IN"/>
        </w:rPr>
        <w:t xml:space="preserve">इस्राएल के लोग या तो 1406 या 1230 ई.पू. में कनान की प्रतिज्ञा की गई भूमि में प्रवेश किए, निर्गमन की तारीख पर निर्भर करता है (देखें </w:t>
      </w:r>
      <w:r>
        <w:rPr>
          <w:lang w:val="hi_IN" w:bidi="hi_IN"/>
        </w:rPr>
        <w:t>निर्गमन पुस्तक परिचय</w:t>
      </w:r>
      <w:r>
        <w:rPr>
          <w:lang w:val="hi_IN" w:bidi="hi_IN"/>
        </w:rP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pPr/>
      <w:r>
        <w:rPr>
          <w:lang w:val="hi_IN" w:bidi="hi_IN"/>
        </w:rPr>
      </w:r>
      <w:r>
        <w:rPr>
          <w:lang w:val="hi_IN" w:bidi="hi_IN"/>
        </w:rP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pPr/>
      <w:r>
        <w:rPr>
          <w:lang w:val="hi_IN" w:bidi="hi_IN"/>
        </w:rPr>
      </w:r>
      <w:r>
        <w:rPr>
          <w:lang w:val="hi_IN" w:bidi="hi_IN"/>
        </w:rP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hyperlink r:id="rId33">
        <w:r>
          <w:rPr>
            <w:lang w:val="hi_IN" w:bidi="hi_IN"/>
          </w:rPr>
          <w:rPr>
            <w:color w:val="0000EE"/>
            <w:u w:val="single"/>
          </w:rPr>
          <w:t>न्यायियों 10:7</w:t>
        </w:r>
      </w:hyperlink>
      <w:r>
        <w:rPr>
          <w:lang w:val="hi_IN" w:bidi="hi_IN"/>
        </w:rP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pPr/>
      <w:r>
        <w:rPr>
          <w:lang w:val="hi_IN" w:bidi="hi_IN"/>
        </w:rPr>
      </w:r>
      <w:r>
        <w:rPr>
          <w:lang w:val="hi_IN" w:bidi="hi_IN"/>
        </w:rPr>
        <w:t>कुछ मामलों में, पाठ न्यायियों के बीच एक अनुक्रम की ओर संकेत करता है। उदाहरण के लिए, शमगर ने "एहूद के बाद" न्याय किया (</w:t>
      </w:r>
      <w:hyperlink r:id="rId34">
        <w:r>
          <w:rPr>
            <w:lang w:val="hi_IN" w:bidi="hi_IN"/>
          </w:rPr>
          <w:rPr>
            <w:color w:val="0000EE"/>
            <w:u w:val="single"/>
          </w:rPr>
          <w:t>3:31</w:t>
        </w:r>
      </w:hyperlink>
      <w:r>
        <w:rPr>
          <w:lang w:val="hi_IN" w:bidi="hi_IN"/>
        </w:rPr>
        <w:t>) और दबोरा ने "एहूद की मृत्यु के बाद" न्याय किया (</w:t>
      </w:r>
      <w:hyperlink r:id="rId35">
        <w:r>
          <w:rPr>
            <w:lang w:val="hi_IN" w:bidi="hi_IN"/>
          </w:rPr>
          <w:rPr>
            <w:color w:val="0000EE"/>
            <w:u w:val="single"/>
          </w:rPr>
          <w:t>4:1</w:t>
        </w:r>
      </w:hyperlink>
      <w:r>
        <w:rPr>
          <w:lang w:val="hi_IN" w:bidi="hi_IN"/>
        </w:rPr>
        <w:t xml:space="preserve">; देखें </w:t>
      </w:r>
      <w:hyperlink r:id="rId36">
        <w:r>
          <w:rPr>
            <w:lang w:val="hi_IN" w:bidi="hi_IN"/>
          </w:rPr>
          <w:rPr>
            <w:color w:val="0000EE"/>
            <w:u w:val="single"/>
          </w:rPr>
          <w:t>5:6</w:t>
        </w:r>
      </w:hyperlink>
      <w:r>
        <w:rPr>
          <w:lang w:val="hi_IN" w:bidi="hi_IN"/>
        </w:rP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pPr/>
      <w:r>
        <w:rPr>
          <w:lang w:val="hi_IN" w:bidi="hi_IN"/>
        </w:rPr>
      </w:r>
      <w:r>
        <w:rPr>
          <w:lang w:val="hi_IN" w:bidi="hi_IN"/>
        </w:rP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2"/>
      </w:pPr>
      <w:r>
        <w:rPr>
          <w:lang w:val="hi_IN" w:bidi="hi_IN"/>
        </w:rPr>
        <w:t>अर्थ और संदेश</w:t>
      </w:r>
    </w:p>
    <w:p>
      <w:pPr/>
      <w:r>
        <w:rPr>
          <w:lang w:val="hi_IN" w:bidi="hi_IN"/>
        </w:rPr>
      </w:r>
      <w:r>
        <w:rPr>
          <w:lang w:val="hi_IN" w:bidi="hi_IN"/>
        </w:rP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pPr/>
      <w:r>
        <w:rPr>
          <w:lang w:val="hi_IN" w:bidi="hi_IN"/>
        </w:rPr>
      </w:r>
      <w:r>
        <w:rPr>
          <w:lang w:val="hi_IN" w:bidi="hi_IN"/>
        </w:rP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pPr/>
      <w:r>
        <w:rPr>
          <w:lang w:val="hi_IN" w:bidi="hi_IN"/>
        </w:rPr>
      </w:r>
      <w:r>
        <w:rPr>
          <w:lang w:val="hi_IN" w:bidi="hi_IN"/>
        </w:rP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pPr/>
      <w:r>
        <w:rPr>
          <w:lang w:val="hi_IN" w:bidi="hi_IN"/>
        </w:rPr>
      </w:r>
      <w:r>
        <w:rPr>
          <w:lang w:val="hi_IN" w:bidi="hi_IN"/>
        </w:rP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pPr/>
      <w:r>
        <w:rPr>
          <w:lang w:val="hi_IN" w:bidi="hi_IN"/>
        </w:rPr>
      </w:r>
      <w:r>
        <w:rPr>
          <w:lang w:val="hi_IN" w:bidi="hi_IN"/>
        </w:rP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hyperlink r:id="rId37">
        <w:r>
          <w:rPr>
            <w:lang w:val="hi_IN" w:bidi="hi_IN"/>
          </w:rPr>
          <w:rPr>
            <w:color w:val="0000EE"/>
            <w:u w:val="single"/>
          </w:rPr>
          <w:t>2 शमू 7:1–29</w:t>
        </w:r>
      </w:hyperlink>
      <w:r>
        <w:rPr>
          <w:lang w:val="hi_IN" w:bidi="hi_IN"/>
        </w:rP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