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3">
        <w:r>
          <w:rPr>
            <w:lang w:val="hi_IN" w:bidi="hi_IN"/>
          </w:rPr>
          <w:rPr>
            <w:color w:val="0000EE"/>
            <w:u w:val="single"/>
          </w:rPr>
          <w:t>2 रा 14:23–24</w:t>
        </w:r>
      </w:hyperlink>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hyperlink r:id="rId14">
        <w:r>
          <w:rPr>
            <w:lang w:val="hi_IN" w:bidi="hi_IN"/>
          </w:rPr>
          <w:rPr>
            <w:color w:val="0000EE"/>
            <w:u w:val="single"/>
          </w:rPr>
          <w:t>2 रा14:25–28</w:t>
        </w:r>
      </w:hyperlink>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hyperlink r:id="rId15">
        <w:r>
          <w:rPr>
            <w:lang w:val="hi_IN" w:bidi="hi_IN"/>
          </w:rPr>
          <w:rPr>
            <w:color w:val="0000EE"/>
            <w:u w:val="single"/>
          </w:rPr>
          <w:t>अध्याय 1–3</w:t>
        </w:r>
      </w:hyperlink>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hyperlink r:id="rId16">
        <w:r>
          <w:rPr>
            <w:lang w:val="hi_IN" w:bidi="hi_IN"/>
          </w:rPr>
          <w:rPr>
            <w:color w:val="0000EE"/>
            <w:u w:val="single"/>
          </w:rPr>
          <w:t xml:space="preserve">अध्याय 4–14 </w:t>
        </w:r>
      </w:hyperlink>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hyperlink r:id="rId17">
        <w:r>
          <w:rPr>
            <w:lang w:val="hi_IN" w:bidi="hi_IN"/>
          </w:rPr>
          <w:rPr>
            <w:color w:val="0000EE"/>
            <w:u w:val="single"/>
          </w:rPr>
          <w:t>1:1</w:t>
        </w:r>
      </w:hyperlink>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hyperlink r:id="rId17">
        <w:r>
          <w:rPr>
            <w:lang w:val="hi_IN" w:bidi="hi_IN"/>
          </w:rPr>
          <w:rPr>
            <w:color w:val="0000EE"/>
            <w:u w:val="single"/>
          </w:rPr>
          <w:t>1:1</w:t>
        </w:r>
      </w:hyperlink>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