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2"/>
      </w:pPr>
      <w:r>
        <w:rPr>
          <w:lang w:val="pt_PT" w:bidi="pt_PT"/>
        </w:rPr>
        <w:t>Cenário</w:t>
      </w:r>
    </w:p>
    <w:p>
      <w:pPr/>
      <w:r>
        <w:rPr>
          <w:lang w:val="pt_PT" w:bidi="pt_PT"/>
        </w:rPr>
      </w:r>
      <w:r>
        <w:rPr>
          <w:lang w:val="pt_PT" w:bidi="pt_PT"/>
        </w:rP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pPr/>
      <w:r>
        <w:rPr>
          <w:lang w:val="pt_PT" w:bidi="pt_PT"/>
        </w:rPr>
      </w:r>
      <w:r>
        <w:rPr>
          <w:lang w:val="pt_PT" w:bidi="pt_PT"/>
        </w:rPr>
        <w:t xml:space="preserve">Durante um tempo tão perigoso, era natural que o povo de Judá e Jerusalém fizesse perguntas difíceis sobre a justiça e a misericórdia de Deus. </w:t>
      </w:r>
      <w:r>
        <w:rPr>
          <w:i/>
          <w:lang w:val="pt_PT" w:bidi="pt_PT"/>
        </w:rPr>
        <w:t>Deus está realmente no comando do céu e da terra? Ele é bom?</w:t>
      </w:r>
      <w:r>
        <w:rPr>
          <w:lang w:val="pt_PT" w:bidi="pt_PT"/>
        </w:rPr>
        <w:t xml:space="preserve"> Eles também refletiam sobre seu próprio pecado e responsabilidade moral pela praga. </w:t>
      </w:r>
      <w:r>
        <w:rPr>
          <w:i/>
          <w:lang w:val="pt_PT" w:bidi="pt_PT"/>
        </w:rPr>
        <w:t>Deus enviou a praga de gafanhotos para nos punir por não vivermos em um relacionamento correto com Ele? Deus será misericordioso conosco? Temos um futuro?</w:t>
      </w:r>
      <w:r>
        <w:rPr>
          <w:lang w:val="pt_PT" w:bidi="pt_PT"/>
        </w:rPr>
        <w:t xml:space="preserve"> Em resposta a essas perguntas, o profeta Joel entregou a palavra do Senhor ao seu povo.</w:t>
      </w:r>
    </w:p>
    <w:p>
      <w:pPr>
        <w:pStyle w:val="Heading2"/>
      </w:pPr>
      <w:r>
        <w:rPr>
          <w:lang w:val="pt_PT" w:bidi="pt_PT"/>
        </w:rPr>
        <w:t>Resumo</w:t>
      </w:r>
    </w:p>
    <w:p>
      <w:pPr/>
      <w:r>
        <w:rPr>
          <w:lang w:val="pt_PT" w:bidi="pt_PT"/>
        </w:rPr>
      </w:r>
      <w:r>
        <w:rPr>
          <w:lang w:val="pt_PT" w:bidi="pt_PT"/>
        </w:rPr>
        <w:t>O livro de Joel consiste em duas partes quase iguais. Na primeira seção (</w:t>
      </w:r>
      <w:hyperlink r:id="rId13">
        <w:r>
          <w:rPr>
            <w:lang w:val="pt_PT" w:bidi="pt_PT"/>
          </w:rPr>
          <w:rPr>
            <w:color w:val="0000EE"/>
            <w:u w:val="single"/>
          </w:rPr>
          <w:t>1.1–2.17</w:t>
        </w:r>
      </w:hyperlink>
      <w:r>
        <w:rPr>
          <w:lang w:val="pt_PT" w:bidi="pt_PT"/>
        </w:rP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hyperlink r:id="rId14">
        <w:r>
          <w:rPr>
            <w:lang w:val="pt_PT" w:bidi="pt_PT"/>
          </w:rPr>
          <w:rPr>
            <w:color w:val="0000EE"/>
            <w:u w:val="single"/>
          </w:rPr>
          <w:t>2.12–17</w:t>
        </w:r>
      </w:hyperlink>
      <w:r>
        <w:rPr>
          <w:lang w:val="pt_PT" w:bidi="pt_PT"/>
        </w:rP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pPr/>
      <w:r>
        <w:rPr>
          <w:lang w:val="pt_PT" w:bidi="pt_PT"/>
        </w:rPr>
      </w:r>
      <w:r>
        <w:rPr>
          <w:lang w:val="pt_PT" w:bidi="pt_PT"/>
        </w:rPr>
        <w:t>Na segunda parte do livro (</w:t>
      </w:r>
      <w:hyperlink r:id="rId15">
        <w:r>
          <w:rPr>
            <w:lang w:val="pt_PT" w:bidi="pt_PT"/>
          </w:rPr>
          <w:rPr>
            <w:color w:val="0000EE"/>
            <w:u w:val="single"/>
          </w:rPr>
          <w:t>2.18–3.21</w:t>
        </w:r>
      </w:hyperlink>
      <w:r>
        <w:rPr>
          <w:lang w:val="pt_PT" w:bidi="pt_PT"/>
        </w:rPr>
        <w:t xml:space="preserve">), o Senhor promete ter piedade de seu povo e restaurar sua terra após a praga de gafanhotos. Em </w:t>
      </w:r>
      <w:hyperlink r:id="rId16">
        <w:r>
          <w:rPr>
            <w:lang w:val="pt_PT" w:bidi="pt_PT"/>
          </w:rPr>
          <w:rPr>
            <w:color w:val="0000EE"/>
            <w:u w:val="single"/>
          </w:rPr>
          <w:t>2.18–27</w:t>
        </w:r>
      </w:hyperlink>
      <w:r>
        <w:rPr>
          <w:lang w:val="pt_PT" w:bidi="pt_PT"/>
        </w:rPr>
        <w:t xml:space="preserve">, Joel descreve como Deus restaurará suas vidas materiais no futuro imediato, reabastecendo seus campos, pomares, vinhedos e rebanhos. Em </w:t>
      </w:r>
      <w:hyperlink r:id="rId17">
        <w:r>
          <w:rPr>
            <w:lang w:val="pt_PT" w:bidi="pt_PT"/>
          </w:rPr>
          <w:rPr>
            <w:color w:val="0000EE"/>
            <w:u w:val="single"/>
          </w:rPr>
          <w:t>2.28–3.21</w:t>
        </w:r>
      </w:hyperlink>
      <w:r>
        <w:rPr>
          <w:lang w:val="pt_PT" w:bidi="pt_PT"/>
        </w:rP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2"/>
      </w:pPr>
      <w:r>
        <w:rPr>
          <w:lang w:val="pt_PT" w:bidi="pt_PT"/>
        </w:rPr>
        <w:t>Data da composição</w:t>
      </w:r>
    </w:p>
    <w:p>
      <w:pPr/>
      <w:r>
        <w:rPr>
          <w:lang w:val="pt_PT" w:bidi="pt_PT"/>
        </w:rPr>
      </w:r>
      <w:r>
        <w:rPr>
          <w:lang w:val="pt_PT" w:bidi="pt_PT"/>
        </w:rPr>
        <w:t xml:space="preserve">Não sabemos quando o profeta Joel viveu e profetizou. Joel não lista os reis sob os quais ele ministrou (cp., e.g. </w:t>
      </w:r>
      <w:hyperlink r:id="rId18">
        <w:r>
          <w:rPr>
            <w:lang w:val="pt_PT" w:bidi="pt_PT"/>
          </w:rPr>
          <w:rPr>
            <w:color w:val="0000EE"/>
            <w:u w:val="single"/>
          </w:rPr>
          <w:t>Am 1.1</w:t>
        </w:r>
      </w:hyperlink>
      <w:r>
        <w:rPr>
          <w:lang w:val="pt_PT" w:bidi="pt_PT"/>
        </w:rPr>
        <w:t xml:space="preserve">; </w:t>
      </w:r>
      <w:hyperlink r:id="rId19">
        <w:r>
          <w:rPr>
            <w:lang w:val="pt_PT" w:bidi="pt_PT"/>
          </w:rPr>
          <w:rPr>
            <w:color w:val="0000EE"/>
            <w:u w:val="single"/>
          </w:rPr>
          <w:t>Mq 1.1</w:t>
        </w:r>
      </w:hyperlink>
      <w:r>
        <w:rPr>
          <w:lang w:val="pt_PT" w:bidi="pt_PT"/>
        </w:rPr>
        <w:t>), nem fornece qualquer outra informação histórica clara. Por essa razão, estudiosos propuseram muitas datas diferentes para Joel.</w:t>
      </w:r>
    </w:p>
    <w:p>
      <w:pPr/>
      <w:r>
        <w:rPr>
          <w:lang w:val="pt_PT" w:bidi="pt_PT"/>
        </w:rPr>
      </w:r>
      <w:r>
        <w:rPr>
          <w:lang w:val="pt_PT" w:bidi="pt_PT"/>
        </w:rP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hyperlink r:id="rId20">
        <w:r>
          <w:rPr>
            <w:lang w:val="pt_PT" w:bidi="pt_PT"/>
          </w:rPr>
          <w:rPr>
            <w:color w:val="0000EE"/>
            <w:u w:val="single"/>
          </w:rPr>
          <w:t>Jl 2.17</w:t>
        </w:r>
      </w:hyperlink>
      <w:r>
        <w:rPr>
          <w:lang w:val="pt_PT" w:bidi="pt_PT"/>
        </w:rPr>
        <w:t xml:space="preserve">; veja também </w:t>
      </w:r>
      <w:hyperlink r:id="rId21">
        <w:r>
          <w:rPr>
            <w:lang w:val="pt_PT" w:bidi="pt_PT"/>
          </w:rPr>
          <w:rPr>
            <w:color w:val="0000EE"/>
            <w:u w:val="single"/>
          </w:rPr>
          <w:t>2Rs 12.1–21</w:t>
        </w:r>
      </w:hyperlink>
      <w:r>
        <w:rPr>
          <w:lang w:val="pt_PT" w:bidi="pt_PT"/>
        </w:rPr>
        <w:t>).</w:t>
      </w:r>
    </w:p>
    <w:p>
      <w:pPr/>
      <w:r>
        <w:rPr>
          <w:lang w:val="pt_PT" w:bidi="pt_PT"/>
        </w:rPr>
      </w:r>
      <w:r>
        <w:rPr>
          <w:lang w:val="pt_PT" w:bidi="pt_PT"/>
        </w:rP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pPr/>
      <w:r>
        <w:rPr>
          <w:lang w:val="pt_PT" w:bidi="pt_PT"/>
        </w:rPr>
      </w:r>
      <w:r>
        <w:rPr>
          <w:lang w:val="pt_PT" w:bidi="pt_PT"/>
        </w:rP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pPr/>
      <w:r>
        <w:rPr>
          <w:lang w:val="pt_PT" w:bidi="pt_PT"/>
        </w:rPr>
      </w:r>
      <w:r>
        <w:rPr>
          <w:lang w:val="pt_PT" w:bidi="pt_PT"/>
        </w:rP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2"/>
      </w:pPr>
      <w:r>
        <w:rPr>
          <w:lang w:val="pt_PT" w:bidi="pt_PT"/>
        </w:rPr>
        <w:t>Significado e mensagem</w:t>
      </w:r>
    </w:p>
    <w:p>
      <w:pPr/>
      <w:r>
        <w:rPr>
          <w:lang w:val="pt_PT" w:bidi="pt_PT"/>
        </w:rPr>
      </w:r>
      <w:r>
        <w:rPr>
          <w:lang w:val="pt_PT" w:bidi="pt_PT"/>
        </w:rPr>
        <w:t>Ao longo do livro de Joel, vemos claramente a soberania de Deus sobre toda a criação. Ele é Senhor tanto do mundo natural quanto da civilização humana. A praga de gafanhotos não foi meramente um evento natural; o exército de insetos veio por ordem de Deus (</w:t>
      </w:r>
      <w:hyperlink r:id="rId22">
        <w:r>
          <w:rPr>
            <w:lang w:val="pt_PT" w:bidi="pt_PT"/>
          </w:rPr>
          <w:rPr>
            <w:color w:val="0000EE"/>
            <w:u w:val="single"/>
          </w:rPr>
          <w:t>2.11</w:t>
        </w:r>
      </w:hyperlink>
      <w:r>
        <w:rPr>
          <w:lang w:val="pt_PT" w:bidi="pt_PT"/>
        </w:rPr>
        <w:t>). O Senhor controla a chuva e a seca, a fertilidade e a fome, a bênção e a destruição. Todos os povos, tanto israelitas quanto não israelitas, estão sujeitos ao seu julgamento soberano, mas a soberania divina não anula a responsabilidade humana.</w:t>
      </w:r>
    </w:p>
    <w:p>
      <w:pPr/>
      <w:r>
        <w:rPr>
          <w:lang w:val="pt_PT" w:bidi="pt_PT"/>
        </w:rPr>
      </w:r>
      <w:r>
        <w:rPr>
          <w:lang w:val="pt_PT" w:bidi="pt_PT"/>
        </w:rP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hyperlink r:id="rId23">
        <w:r>
          <w:rPr>
            <w:lang w:val="pt_PT" w:bidi="pt_PT"/>
          </w:rPr>
          <w:rPr>
            <w:color w:val="0000EE"/>
            <w:u w:val="single"/>
          </w:rPr>
          <w:t>Êx 34.6–7</w:t>
        </w:r>
      </w:hyperlink>
      <w:r>
        <w:rPr>
          <w:lang w:val="pt_PT" w:bidi="pt_PT"/>
        </w:rPr>
        <w:t>), Joel estende o gracioso convite de Deus aos israelitas: “Voltem para o Senhor seu Deus, pois ele é misericordioso e compassivo, lento para se irar e cheio de amor infalível” (</w:t>
      </w:r>
      <w:hyperlink r:id="rId24">
        <w:r>
          <w:rPr>
            <w:lang w:val="pt_PT" w:bidi="pt_PT"/>
          </w:rPr>
          <w:rPr>
            <w:color w:val="0000EE"/>
            <w:u w:val="single"/>
          </w:rPr>
          <w:t>Jl 2.13</w:t>
        </w:r>
      </w:hyperlink>
      <w:r>
        <w:rPr>
          <w:lang w:val="pt_PT" w:bidi="pt_PT"/>
        </w:rPr>
        <w:t>).</w:t>
      </w:r>
    </w:p>
    <w:p>
      <w:pPr/>
      <w:r>
        <w:rPr>
          <w:lang w:val="pt_PT" w:bidi="pt_PT"/>
        </w:rPr>
      </w:r>
      <w:r>
        <w:rPr>
          <w:lang w:val="pt_PT" w:bidi="pt_PT"/>
        </w:rP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hyperlink r:id="rId25">
        <w:r>
          <w:rPr>
            <w:lang w:val="pt_PT" w:bidi="pt_PT"/>
          </w:rPr>
          <w:rPr>
            <w:color w:val="0000EE"/>
            <w:u w:val="single"/>
          </w:rPr>
          <w:t>Is 1.10–18</w:t>
        </w:r>
      </w:hyperlink>
      <w:r>
        <w:rPr>
          <w:lang w:val="pt_PT" w:bidi="pt_PT"/>
        </w:rPr>
        <w:t xml:space="preserve">; </w:t>
      </w:r>
      <w:hyperlink r:id="rId26">
        <w:r>
          <w:rPr>
            <w:lang w:val="pt_PT" w:bidi="pt_PT"/>
          </w:rPr>
          <w:rPr>
            <w:color w:val="0000EE"/>
            <w:u w:val="single"/>
          </w:rPr>
          <w:t>Am 5.21–24</w:t>
        </w:r>
      </w:hyperlink>
      <w:r>
        <w:rPr>
          <w:lang w:val="pt_PT" w:bidi="pt_PT"/>
        </w:rP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hyperlink r:id="rId24">
        <w:r>
          <w:rPr>
            <w:lang w:val="pt_PT" w:bidi="pt_PT"/>
          </w:rPr>
          <w:rPr>
            <w:color w:val="0000EE"/>
            <w:u w:val="single"/>
          </w:rPr>
          <w:t>Jl 2.13</w:t>
        </w:r>
      </w:hyperlink>
      <w:r>
        <w:rPr>
          <w:lang w:val="pt_PT" w:bidi="pt_PT"/>
        </w:rPr>
        <w:t xml:space="preserve">). A solução para o culto corrupto não é abandonar o culto, mas adorar a Deus em espírito e em verdade (veja </w:t>
      </w:r>
      <w:hyperlink r:id="rId27">
        <w:r>
          <w:rPr>
            <w:lang w:val="pt_PT" w:bidi="pt_PT"/>
          </w:rPr>
          <w:rPr>
            <w:color w:val="0000EE"/>
            <w:u w:val="single"/>
          </w:rPr>
          <w:t>Jo 4.23–24</w:t>
        </w:r>
      </w:hyperlink>
      <w:r>
        <w:rPr>
          <w:lang w:val="pt_PT" w:bidi="pt_PT"/>
        </w:rPr>
        <w:t>).</w:t>
      </w:r>
    </w:p>
    <w:p>
      <w:pPr/>
      <w:r>
        <w:rPr>
          <w:lang w:val="pt_PT" w:bidi="pt_PT"/>
        </w:rPr>
      </w:r>
      <w:r>
        <w:rPr>
          <w:lang w:val="pt_PT" w:bidi="pt_PT"/>
        </w:rPr>
        <w:t>Para um povo que enfrentou desastres, Joel trouxe a mensagem de que seu Deus estava totalmente no controle do futuro. Ele assegurou-lhes que no dia do Senhor, Deus interviria no mundo para julgar os ímpios e estabelecer a paz e a justiça (</w:t>
      </w:r>
      <w:hyperlink r:id="rId28">
        <w:r>
          <w:rPr>
            <w:lang w:val="pt_PT" w:bidi="pt_PT"/>
          </w:rPr>
          <w:rPr>
            <w:color w:val="0000EE"/>
            <w:u w:val="single"/>
          </w:rPr>
          <w:t>Jl 1.15</w:t>
        </w:r>
      </w:hyperlink>
      <w:r>
        <w:rPr>
          <w:lang w:val="pt_PT" w:bidi="pt_PT"/>
        </w:rPr>
        <w:t xml:space="preserve">; </w:t>
      </w:r>
      <w:hyperlink r:id="rId29">
        <w:r>
          <w:rPr>
            <w:lang w:val="pt_PT" w:bidi="pt_PT"/>
          </w:rPr>
          <w:rPr>
            <w:color w:val="0000EE"/>
            <w:u w:val="single"/>
          </w:rPr>
          <w:t>2.1</w:t>
        </w:r>
      </w:hyperlink>
      <w:r>
        <w:rPr>
          <w:lang w:val="pt_PT" w:bidi="pt_PT"/>
        </w:rP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hyperlink r:id="rId17">
        <w:r>
          <w:rPr>
            <w:lang w:val="pt_PT" w:bidi="pt_PT"/>
          </w:rPr>
          <w:rPr>
            <w:color w:val="0000EE"/>
            <w:u w:val="single"/>
          </w:rPr>
          <w:t>Jl 2.28–3.21</w:t>
        </w:r>
      </w:hyperlink>
      <w:r>
        <w:rPr>
          <w:lang w:val="pt_PT" w:bidi="pt_PT"/>
        </w:rPr>
        <w:t xml:space="preserve">; veja </w:t>
      </w:r>
      <w:hyperlink r:id="rId30">
        <w:r>
          <w:rPr>
            <w:lang w:val="pt_PT" w:bidi="pt_PT"/>
          </w:rPr>
          <w:rPr>
            <w:color w:val="0000EE"/>
            <w:u w:val="single"/>
          </w:rPr>
          <w:t>Mt 16.27</w:t>
        </w:r>
      </w:hyperlink>
      <w:r>
        <w:rPr>
          <w:lang w:val="pt_PT" w:bidi="pt_PT"/>
        </w:rPr>
        <w:t xml:space="preserve">; </w:t>
      </w:r>
      <w:hyperlink r:id="rId31">
        <w:r>
          <w:rPr>
            <w:lang w:val="pt_PT" w:bidi="pt_PT"/>
          </w:rPr>
          <w:rPr>
            <w:color w:val="0000EE"/>
            <w:u w:val="single"/>
          </w:rPr>
          <w:t>At 2.16–40</w:t>
        </w:r>
      </w:hyperlink>
      <w:r>
        <w:rPr>
          <w:lang w:val="pt_PT" w:bidi="pt_PT"/>
        </w:rPr>
        <w:t xml:space="preserve">; </w:t>
      </w:r>
      <w:hyperlink r:id="rId32">
        <w:r>
          <w:rPr>
            <w:lang w:val="pt_PT" w:bidi="pt_PT"/>
          </w:rPr>
          <w:rPr>
            <w:color w:val="0000EE"/>
            <w:u w:val="single"/>
          </w:rPr>
          <w:t>Cl 2.13–22</w:t>
        </w:r>
      </w:hyperlink>
      <w:r>
        <w:rPr>
          <w:lang w:val="pt_PT" w:bidi="pt_PT"/>
        </w:rPr>
        <w:t xml:space="preserve">; </w:t>
      </w:r>
      <w:hyperlink r:id="rId33">
        <w:r>
          <w:rPr>
            <w:lang w:val="pt_PT" w:bidi="pt_PT"/>
          </w:rPr>
          <w:rPr>
            <w:color w:val="0000EE"/>
            <w:u w:val="single"/>
          </w:rPr>
          <w:t>Ap 21–22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