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2"/>
      </w:pPr>
      <w:r>
        <w:rPr>
          <w:lang w:val="es_ES" w:bidi="es_ES"/>
        </w:rPr>
        <w:t>Ambientación</w:t>
      </w:r>
    </w:p>
    <w:p>
      <w:pPr/>
      <w:r>
        <w:rPr>
          <w:lang w:val="es_ES" w:bidi="es_ES"/>
        </w:rPr>
      </w:r>
      <w:r>
        <w:rPr>
          <w:lang w:val="es_ES" w:bidi="es_ES"/>
        </w:rPr>
        <w:t>Desde el momento de su conversión, los cristianos de Tesalónica habían experimentado hostilidad (</w:t>
      </w:r>
      <w:hyperlink r:id="rId13">
        <w:r>
          <w:rPr>
            <w:lang w:val="es_ES" w:bidi="es_ES"/>
          </w:rPr>
          <w:rPr>
            <w:color w:val="0000EE"/>
            <w:u w:val="single"/>
          </w:rPr>
          <w:t>1 Ts 1:6,</w:t>
        </w:r>
      </w:hyperlink>
      <w:r>
        <w:rPr>
          <w:lang w:val="es_ES" w:bidi="es_ES"/>
        </w:rPr>
        <w:t xml:space="preserve"> </w:t>
      </w:r>
      <w:hyperlink r:id="rId14">
        <w:r>
          <w:rPr>
            <w:lang w:val="es_ES" w:bidi="es_ES"/>
          </w:rPr>
          <w:rPr>
            <w:color w:val="0000EE"/>
            <w:u w:val="single"/>
          </w:rPr>
          <w:t>2:14</w:t>
        </w:r>
      </w:hyperlink>
      <w:r>
        <w:rPr>
          <w:lang w:val="es_ES" w:bidi="es_ES"/>
        </w:rPr>
        <w:t>), y Pablo se había preocupado por si mantendrían su fe (</w:t>
      </w:r>
      <w:hyperlink r:id="rId15">
        <w:r>
          <w:rPr>
            <w:lang w:val="es_ES" w:bidi="es_ES"/>
          </w:rPr>
          <w:rPr>
            <w:color w:val="0000EE"/>
            <w:u w:val="single"/>
          </w:rPr>
          <w:t>1 Ts 3:5</w:t>
        </w:r>
      </w:hyperlink>
      <w:r>
        <w:rPr>
          <w:lang w:val="es_ES" w:bidi="es_ES"/>
        </w:rPr>
        <w:t>). Cuando Pablo escribió 1 Tesalonicenses, se habían mantenido firmes en la fe, el amor y la esperanza (</w:t>
      </w:r>
      <w:hyperlink r:id="rId16">
        <w:r>
          <w:rPr>
            <w:lang w:val="es_ES" w:bidi="es_ES"/>
          </w:rPr>
          <w:rPr>
            <w:color w:val="0000EE"/>
            <w:u w:val="single"/>
          </w:rPr>
          <w:t>1 Ts 1:3,</w:t>
        </w:r>
      </w:hyperlink>
      <w:r>
        <w:rPr>
          <w:lang w:val="es_ES" w:bidi="es_ES"/>
        </w:rPr>
        <w:t xml:space="preserve"> </w:t>
      </w:r>
      <w:hyperlink r:id="rId17">
        <w:r>
          <w:rPr>
            <w:lang w:val="es_ES" w:bidi="es_ES"/>
          </w:rPr>
          <w:rPr>
            <w:color w:val="0000EE"/>
            <w:u w:val="single"/>
          </w:rPr>
          <w:t>3:6–8</w:t>
        </w:r>
      </w:hyperlink>
      <w:r>
        <w:rPr>
          <w:lang w:val="es_ES" w:bidi="es_ES"/>
        </w:rPr>
        <w:t>).</w:t>
      </w:r>
    </w:p>
    <w:p>
      <w:pPr/>
      <w:r>
        <w:rPr>
          <w:lang w:val="es_ES" w:bidi="es_ES"/>
        </w:rPr>
      </w:r>
      <w:r>
        <w:rPr>
          <w:lang w:val="es_ES" w:bidi="es_ES"/>
        </w:rP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hyperlink r:id="rId18">
        <w:r>
          <w:rPr>
            <w:lang w:val="es_ES" w:bidi="es_ES"/>
          </w:rPr>
          <w:rPr>
            <w:color w:val="0000EE"/>
            <w:u w:val="single"/>
          </w:rPr>
          <w:t>2:2</w:t>
        </w:r>
      </w:hyperlink>
      <w:r>
        <w:rPr>
          <w:lang w:val="es_ES" w:bidi="es_ES"/>
        </w:rPr>
        <w:t>). Pablo escribió 2 Tesalonicenses tras recibir esta noticia (</w:t>
      </w:r>
      <w:hyperlink r:id="rId18">
        <w:r>
          <w:rPr>
            <w:lang w:val="es_ES" w:bidi="es_ES"/>
          </w:rPr>
          <w:rPr>
            <w:color w:val="0000EE"/>
            <w:u w:val="single"/>
          </w:rPr>
          <w:t>2:2,</w:t>
        </w:r>
      </w:hyperlink>
      <w:r>
        <w:rPr>
          <w:lang w:val="es_ES" w:bidi="es_ES"/>
        </w:rPr>
        <w:t xml:space="preserve"> </w:t>
      </w:r>
      <w:hyperlink r:id="rId19">
        <w:r>
          <w:rPr>
            <w:lang w:val="es_ES" w:bidi="es_ES"/>
          </w:rPr>
          <w:rPr>
            <w:color w:val="0000EE"/>
            <w:u w:val="single"/>
          </w:rPr>
          <w:t>3:11</w:t>
        </w:r>
      </w:hyperlink>
      <w:r>
        <w:rPr>
          <w:lang w:val="es_ES" w:bidi="es_ES"/>
        </w:rPr>
        <w:t>) con el propósito de ofrecer a esta iglesia un cambio de perspectiva.</w:t>
      </w:r>
    </w:p>
    <w:p>
      <w:pPr>
        <w:pStyle w:val="Heading2"/>
      </w:pPr>
      <w:r>
        <w:rPr>
          <w:lang w:val="es_ES" w:bidi="es_ES"/>
        </w:rPr>
        <w:t>Resumen</w:t>
      </w:r>
    </w:p>
    <w:p>
      <w:pPr/>
      <w:r>
        <w:rPr>
          <w:lang w:val="es_ES" w:bidi="es_ES"/>
        </w:rPr>
      </w:r>
      <w:r>
        <w:rPr>
          <w:lang w:val="es_ES" w:bidi="es_ES"/>
        </w:rPr>
        <w:t>Segunda de Tesalonicenses comienza con el saludo habitual (</w:t>
      </w:r>
      <w:hyperlink r:id="rId20">
        <w:r>
          <w:rPr>
            <w:lang w:val="es_ES" w:bidi="es_ES"/>
          </w:rPr>
          <w:rPr>
            <w:color w:val="0000EE"/>
            <w:u w:val="single"/>
          </w:rPr>
          <w:t>1:1–2</w:t>
        </w:r>
      </w:hyperlink>
      <w:r>
        <w:rPr>
          <w:lang w:val="es_ES" w:bidi="es_ES"/>
        </w:rPr>
        <w:t>), y rápidamente pasa a expresar gratitud por la fe, el amor y la perseverante esperanza de la iglesia, que se había convertido en un ejemplo para otras congregaciones (</w:t>
      </w:r>
      <w:hyperlink r:id="rId21">
        <w:r>
          <w:rPr>
            <w:lang w:val="es_ES" w:bidi="es_ES"/>
          </w:rPr>
          <w:rPr>
            <w:color w:val="0000EE"/>
            <w:u w:val="single"/>
          </w:rPr>
          <w:t>1:3–4</w:t>
        </w:r>
      </w:hyperlink>
      <w:r>
        <w:rPr>
          <w:lang w:val="es_ES" w:bidi="es_ES"/>
        </w:rPr>
        <w:t>). Al observar su sufrimiento, Pablo afirma que Dios juzgará a sus perseguidores y recompensará a los creyentes tesalonicenses (</w:t>
      </w:r>
      <w:hyperlink r:id="rId22">
        <w:r>
          <w:rPr>
            <w:lang w:val="es_ES" w:bidi="es_ES"/>
          </w:rPr>
          <w:rPr>
            <w:color w:val="0000EE"/>
            <w:u w:val="single"/>
          </w:rPr>
          <w:t>1:5–10</w:t>
        </w:r>
      </w:hyperlink>
      <w:r>
        <w:rPr>
          <w:lang w:val="es_ES" w:bidi="es_ES"/>
        </w:rPr>
        <w:t>). Pablo agradece por esta iglesia y ora para que Dios continúe haciéndolos dignos de su llamado (</w:t>
      </w:r>
      <w:hyperlink r:id="rId23">
        <w:r>
          <w:rPr>
            <w:lang w:val="es_ES" w:bidi="es_ES"/>
          </w:rPr>
          <w:rPr>
            <w:color w:val="0000EE"/>
            <w:u w:val="single"/>
          </w:rPr>
          <w:t>1:11–12</w:t>
        </w:r>
      </w:hyperlink>
      <w:r>
        <w:rPr>
          <w:lang w:val="es_ES" w:bidi="es_ES"/>
        </w:rPr>
        <w:t>). A pesar de sus dificultades, Pablo confía en la obra de Dios entre ellos.</w:t>
      </w:r>
    </w:p>
    <w:p>
      <w:pPr/>
      <w:r>
        <w:rPr>
          <w:lang w:val="es_ES" w:bidi="es_ES"/>
        </w:rPr>
      </w:r>
      <w:r>
        <w:rPr>
          <w:lang w:val="es_ES" w:bidi="es_ES"/>
        </w:rPr>
        <w:t>Pablo refuta la falsa enseñanza de que “el día del Señor ya ha comenzado” (</w:t>
      </w:r>
      <w:hyperlink r:id="rId24">
        <w:r>
          <w:rPr>
            <w:lang w:val="es_ES" w:bidi="es_ES"/>
          </w:rPr>
          <w:rPr>
            <w:color w:val="0000EE"/>
            <w:u w:val="single"/>
          </w:rPr>
          <w:t>2:1–2</w:t>
        </w:r>
      </w:hyperlink>
      <w:r>
        <w:rPr>
          <w:lang w:val="es_ES" w:bidi="es_ES"/>
        </w:rPr>
        <w:t>) y exhorta a la iglesia a no dejarse engañar por esta doctrina (</w:t>
      </w:r>
      <w:hyperlink r:id="rId25">
        <w:r>
          <w:rPr>
            <w:lang w:val="es_ES" w:bidi="es_ES"/>
          </w:rPr>
          <w:rPr>
            <w:color w:val="0000EE"/>
            <w:u w:val="single"/>
          </w:rPr>
          <w:t>2:3</w:t>
        </w:r>
      </w:hyperlink>
      <w:r>
        <w:rPr>
          <w:lang w:val="es_ES" w:bidi="es_ES"/>
        </w:rPr>
        <w:t>). Él describe los eventos que precederán la venida de Cristo, cuando la iglesia se reunirá para encontrarse con él (</w:t>
      </w:r>
      <w:hyperlink r:id="rId26">
        <w:r>
          <w:rPr>
            <w:lang w:val="es_ES" w:bidi="es_ES"/>
          </w:rPr>
          <w:rPr>
            <w:color w:val="0000EE"/>
            <w:u w:val="single"/>
          </w:rPr>
          <w:t>2:1–12</w:t>
        </w:r>
      </w:hyperlink>
      <w:r>
        <w:rPr>
          <w:lang w:val="es_ES" w:bidi="es_ES"/>
        </w:rPr>
        <w:t>). Primero, habrá una rebelión contra Dios (</w:t>
      </w:r>
      <w:hyperlink r:id="rId25">
        <w:r>
          <w:rPr>
            <w:lang w:val="es_ES" w:bidi="es_ES"/>
          </w:rPr>
          <w:rPr>
            <w:color w:val="0000EE"/>
            <w:u w:val="single"/>
          </w:rPr>
          <w:t>2:3</w:t>
        </w:r>
      </w:hyperlink>
      <w:r>
        <w:rPr>
          <w:lang w:val="es_ES" w:bidi="es_ES"/>
        </w:rPr>
        <w:t>). Luego aparecerá “el Hombre de iniquidad”, quien afirmará ser divino y exigirá adoración (</w:t>
      </w:r>
      <w:hyperlink r:id="rId27">
        <w:r>
          <w:rPr>
            <w:lang w:val="es_ES" w:bidi="es_ES"/>
          </w:rPr>
          <w:rPr>
            <w:color w:val="0000EE"/>
            <w:u w:val="single"/>
          </w:rPr>
          <w:t>2:3–4</w:t>
        </w:r>
      </w:hyperlink>
      <w:r>
        <w:rPr>
          <w:lang w:val="es_ES" w:bidi="es_ES"/>
        </w:rPr>
        <w:t>). Aunque será empoderado por Satanás y engañará a muchos, Jesús lo destruirá (</w:t>
      </w:r>
      <w:hyperlink r:id="rId28">
        <w:r>
          <w:rPr>
            <w:lang w:val="es_ES" w:bidi="es_ES"/>
          </w:rPr>
          <w:rPr>
            <w:color w:val="0000EE"/>
            <w:u w:val="single"/>
          </w:rPr>
          <w:t>2:8–12</w:t>
        </w:r>
      </w:hyperlink>
      <w:r>
        <w:rPr>
          <w:lang w:val="es_ES" w:bidi="es_ES"/>
        </w:rPr>
        <w:t>).</w:t>
      </w:r>
    </w:p>
    <w:p>
      <w:pPr/>
      <w:r>
        <w:rPr>
          <w:lang w:val="es_ES" w:bidi="es_ES"/>
        </w:rPr>
      </w:r>
      <w:r>
        <w:rPr>
          <w:lang w:val="es_ES" w:bidi="es_ES"/>
        </w:rPr>
        <w:t>Pablo está convencido de que Dios eligió y llamó a los cristianos de Tesalónica, y les exhorta a mantenerse firmes (</w:t>
      </w:r>
      <w:hyperlink r:id="rId29">
        <w:r>
          <w:rPr>
            <w:lang w:val="es_ES" w:bidi="es_ES"/>
          </w:rPr>
          <w:rPr>
            <w:color w:val="0000EE"/>
            <w:u w:val="single"/>
          </w:rPr>
          <w:t>2:13–15</w:t>
        </w:r>
      </w:hyperlink>
      <w:r>
        <w:rPr>
          <w:lang w:val="es_ES" w:bidi="es_ES"/>
        </w:rPr>
        <w:t>). Pablo concluye su discusión sobre los eventos finales con una oración por la iglesia (</w:t>
      </w:r>
      <w:hyperlink r:id="rId30">
        <w:r>
          <w:rPr>
            <w:lang w:val="es_ES" w:bidi="es_ES"/>
          </w:rPr>
          <w:rPr>
            <w:color w:val="0000EE"/>
            <w:u w:val="single"/>
          </w:rPr>
          <w:t>2:16–17</w:t>
        </w:r>
      </w:hyperlink>
      <w:r>
        <w:rPr>
          <w:lang w:val="es_ES" w:bidi="es_ES"/>
        </w:rPr>
        <w:t>) y solicita que oren por él mientras predica las Buenas Nuevas (</w:t>
      </w:r>
      <w:hyperlink r:id="rId31">
        <w:r>
          <w:rPr>
            <w:lang w:val="es_ES" w:bidi="es_ES"/>
          </w:rPr>
          <w:rPr>
            <w:color w:val="0000EE"/>
            <w:u w:val="single"/>
          </w:rPr>
          <w:t>3:1–2</w:t>
        </w:r>
      </w:hyperlink>
      <w:r>
        <w:rPr>
          <w:lang w:val="es_ES" w:bidi="es_ES"/>
        </w:rPr>
        <w:t>). Su confianza en la iglesia se fundamenta en la obra de Dios en ellos (</w:t>
      </w:r>
      <w:hyperlink r:id="rId32">
        <w:r>
          <w:rPr>
            <w:lang w:val="es_ES" w:bidi="es_ES"/>
          </w:rPr>
          <w:rPr>
            <w:color w:val="0000EE"/>
            <w:u w:val="single"/>
          </w:rPr>
          <w:t>3:3–5</w:t>
        </w:r>
      </w:hyperlink>
      <w:r>
        <w:rPr>
          <w:lang w:val="es_ES" w:bidi="es_ES"/>
        </w:rPr>
        <w:t>).</w:t>
      </w:r>
    </w:p>
    <w:p>
      <w:pPr/>
      <w:r>
        <w:rPr>
          <w:lang w:val="es_ES" w:bidi="es_ES"/>
        </w:rPr>
      </w:r>
      <w:r>
        <w:rPr>
          <w:lang w:val="es_ES" w:bidi="es_ES"/>
        </w:rPr>
        <w:t>En la sección final (</w:t>
      </w:r>
      <w:hyperlink r:id="rId33">
        <w:r>
          <w:rPr>
            <w:lang w:val="es_ES" w:bidi="es_ES"/>
          </w:rPr>
          <w:rPr>
            <w:color w:val="0000EE"/>
            <w:u w:val="single"/>
          </w:rPr>
          <w:t>3:6–18</w:t>
        </w:r>
      </w:hyperlink>
      <w:r>
        <w:rPr>
          <w:lang w:val="es_ES" w:bidi="es_ES"/>
        </w:rPr>
        <w:t>), Pablo retoma un tema que había tratado en la primera carta. Algunos creyentes se negaban a trabajar, a pesar de la instrucción y el ejemplo de Pablo, por lo que él insta a la iglesia a disciplinarlos (</w:t>
      </w:r>
      <w:hyperlink r:id="rId34">
        <w:r>
          <w:rPr>
            <w:lang w:val="es_ES" w:bidi="es_ES"/>
          </w:rPr>
          <w:rPr>
            <w:color w:val="0000EE"/>
            <w:u w:val="single"/>
          </w:rPr>
          <w:t>3:6–10</w:t>
        </w:r>
      </w:hyperlink>
      <w:r>
        <w:rPr>
          <w:lang w:val="es_ES" w:bidi="es_ES"/>
        </w:rPr>
        <w:t>). Además, se dirige directamente a estos miembros ociosos, exhortándolos a que se pongan a trabajar (</w:t>
      </w:r>
      <w:hyperlink r:id="rId35">
        <w:r>
          <w:rPr>
            <w:lang w:val="es_ES" w:bidi="es_ES"/>
          </w:rPr>
          <w:rPr>
            <w:color w:val="0000EE"/>
            <w:u w:val="single"/>
          </w:rPr>
          <w:t>3:11–12</w:t>
        </w:r>
      </w:hyperlink>
      <w:r>
        <w:rPr>
          <w:lang w:val="es_ES" w:bidi="es_ES"/>
        </w:rPr>
        <w:t>). Ordena a la iglesia tratar a estos perezosos como cristianos extraviados en lugar de enemigos hostiles (</w:t>
      </w:r>
      <w:hyperlink r:id="rId36">
        <w:r>
          <w:rPr>
            <w:lang w:val="es_ES" w:bidi="es_ES"/>
          </w:rPr>
          <w:rPr>
            <w:color w:val="0000EE"/>
            <w:u w:val="single"/>
          </w:rPr>
          <w:t>3:14–15</w:t>
        </w:r>
      </w:hyperlink>
      <w:r>
        <w:rPr>
          <w:lang w:val="es_ES" w:bidi="es_ES"/>
        </w:rPr>
        <w:t>), y anima a la iglesia a seguir siendo generosa con aquellos que realmente lo necesitan (</w:t>
      </w:r>
      <w:hyperlink r:id="rId37">
        <w:r>
          <w:rPr>
            <w:lang w:val="es_ES" w:bidi="es_ES"/>
          </w:rPr>
          <w:rPr>
            <w:color w:val="0000EE"/>
            <w:u w:val="single"/>
          </w:rPr>
          <w:t>3:13</w:t>
        </w:r>
      </w:hyperlink>
      <w:r>
        <w:rPr>
          <w:lang w:val="es_ES" w:bidi="es_ES"/>
        </w:rPr>
        <w:t>). Concluye la carta con oraciones y un saludo final (</w:t>
      </w:r>
      <w:hyperlink r:id="rId38">
        <w:r>
          <w:rPr>
            <w:lang w:val="es_ES" w:bidi="es_ES"/>
          </w:rPr>
          <w:rPr>
            <w:color w:val="0000EE"/>
            <w:u w:val="single"/>
          </w:rPr>
          <w:t>3:16–18</w:t>
        </w:r>
      </w:hyperlink>
      <w:r>
        <w:rPr>
          <w:lang w:val="es_ES" w:bidi="es_ES"/>
        </w:rPr>
        <w:t>).</w:t>
      </w:r>
    </w:p>
    <w:p>
      <w:pPr>
        <w:pStyle w:val="Heading2"/>
      </w:pPr>
      <w:r>
        <w:rPr>
          <w:lang w:val="es_ES" w:bidi="es_ES"/>
        </w:rPr>
        <w:t>Autoría</w:t>
      </w:r>
    </w:p>
    <w:p>
      <w:pPr/>
      <w:r>
        <w:rPr>
          <w:lang w:val="es_ES" w:bidi="es_ES"/>
        </w:rPr>
      </w:r>
      <w:r>
        <w:rPr>
          <w:lang w:val="es_ES" w:bidi="es_ES"/>
        </w:rPr>
        <w:t>El nombre de Pablo aparece al inicio de la carta (</w:t>
      </w:r>
      <w:hyperlink r:id="rId39">
        <w:r>
          <w:rPr>
            <w:lang w:val="es_ES" w:bidi="es_ES"/>
          </w:rPr>
          <w:rPr>
            <w:color w:val="0000EE"/>
            <w:u w:val="single"/>
          </w:rPr>
          <w:t>1:1</w:t>
        </w:r>
      </w:hyperlink>
      <w:r>
        <w:rPr>
          <w:lang w:val="es_ES" w:bidi="es_ES"/>
        </w:rPr>
        <w:t>); al final, Pablo añade una nota de su propia mano para certificar su autenticidad (</w:t>
      </w:r>
      <w:hyperlink r:id="rId40">
        <w:r>
          <w:rPr>
            <w:lang w:val="es_ES" w:bidi="es_ES"/>
          </w:rPr>
          <w:rPr>
            <w:color w:val="0000EE"/>
            <w:u w:val="single"/>
          </w:rPr>
          <w:t>3:17</w:t>
        </w:r>
      </w:hyperlink>
      <w:r>
        <w:rPr>
          <w:lang w:val="es_ES" w:bidi="es_ES"/>
        </w:rP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pPr/>
      <w:r>
        <w:rPr>
          <w:lang w:val="es_ES" w:bidi="es_ES"/>
        </w:rPr>
      </w:r>
      <w:r>
        <w:rPr>
          <w:lang w:val="es_ES" w:bidi="es_ES"/>
        </w:rPr>
        <w:t>La iglesia primitiva afirmó unánimemente que 2 Tesalonicenses era una carta auténtica del apóstol Pablo, y esta carta está en armonía con otros escritos de Pablo.</w:t>
      </w:r>
    </w:p>
    <w:p>
      <w:pPr>
        <w:pStyle w:val="Heading2"/>
      </w:pPr>
      <w:r>
        <w:rPr>
          <w:lang w:val="es_ES" w:bidi="es_ES"/>
        </w:rPr>
        <w:t>Destinatarios</w:t>
      </w:r>
    </w:p>
    <w:p>
      <w:pPr/>
      <w:r>
        <w:rPr>
          <w:lang w:val="es_ES" w:bidi="es_ES"/>
        </w:rPr>
      </w:r>
      <w:r>
        <w:rPr>
          <w:lang w:val="es_ES" w:bidi="es_ES"/>
        </w:rPr>
        <w:t>Los destinatarios de la carta eran los mismos que recibieron 1 Tesalonicenses: “la iglesia en Tesalónica... vosotros que pertenecéis a Dios nuestro Padre y al Señor Jesucristo” (</w:t>
      </w:r>
      <w:hyperlink r:id="rId39">
        <w:r>
          <w:rPr>
            <w:lang w:val="es_ES" w:bidi="es_ES"/>
          </w:rPr>
          <w:rPr>
            <w:color w:val="0000EE"/>
            <w:u w:val="single"/>
          </w:rPr>
          <w:t>2 Ts 1:1</w:t>
        </w:r>
      </w:hyperlink>
      <w:r>
        <w:rPr>
          <w:lang w:val="es_ES" w:bidi="es_ES"/>
        </w:rPr>
        <w:t>). Muchos eran artesanos que se ganaban la vida con trabajo manual (</w:t>
      </w:r>
      <w:hyperlink r:id="rId41">
        <w:r>
          <w:rPr>
            <w:lang w:val="es_ES" w:bidi="es_ES"/>
          </w:rPr>
          <w:rPr>
            <w:color w:val="0000EE"/>
            <w:u w:val="single"/>
          </w:rPr>
          <w:t>3:6–12</w:t>
        </w:r>
      </w:hyperlink>
      <w:r>
        <w:rPr>
          <w:lang w:val="es_ES" w:bidi="es_ES"/>
        </w:rPr>
        <w:t>) o eran clientes de ricos patrones. No eran personas de gran riqueza.</w:t>
      </w:r>
    </w:p>
    <w:p>
      <w:pPr>
        <w:pStyle w:val="Heading2"/>
      </w:pPr>
      <w:r>
        <w:rPr>
          <w:lang w:val="es_ES" w:bidi="es_ES"/>
        </w:rPr>
        <w:t>Significado y Mensaje</w:t>
      </w:r>
    </w:p>
    <w:p>
      <w:pPr/>
      <w:r>
        <w:rPr>
          <w:lang w:val="es_ES" w:bidi="es_ES"/>
        </w:rPr>
      </w:r>
      <w:r>
        <w:rPr>
          <w:lang w:val="es_ES" w:bidi="es_ES"/>
        </w:rP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pPr/>
      <w:r>
        <w:rPr>
          <w:lang w:val="es_ES" w:bidi="es_ES"/>
        </w:rPr>
      </w:r>
      <w:r>
        <w:rPr>
          <w:lang w:val="es_ES" w:bidi="es_ES"/>
        </w:rP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