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2PE</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٢ بطْرس</w:t>
      </w:r>
      <w:r>
        <w:rPr>
          <w:rtl/>
          <w:cs/>
          <w:lang w:val="ar_AE" w:bidi="ar_AE"/>
        </w:rPr>
      </w:r>
    </w:p>
    <w:p>
      <w:pPr>
        <w:bidi/>
      </w:pPr>
      <w:r>
        <w:rPr>
          <w:rtl/>
          <w:cs/>
          <w:lang w:val="ar_AE" w:bidi="ar_AE"/>
        </w:rPr>
      </w:r>
      <w:r>
        <w:rPr>
          <w:rtl/>
          <w:cs/>
          <w:lang w:val="ar_AE" w:bidi="ar_AE"/>
        </w:rPr>
        <w:t>لِجَذْبِ الانتباهِ، يَضِجٌّ من حَولِنا الكثيرُ من وجهاتِ النَّظَر الفلسفِيَّةِ، والدِّينيَّةِ، والقِيَمِ الثقافيةِ. ولهذا، تُناشِدُ الرِّسَالَةُ الثَّانِيةُ للرَّسُول بُطْرُس قراءَها على النُّمُوِّ في نعْمَةِ المسيح كما تُحَذِّرُ من التَّنَازُلِ عن الإِيمانِ المَسِيحيِّ بِخْلْطِهِ مع أيَّةِ أفكارٍ غَرِيبَةٍ على المَسِيحِيَّةِ.</w:t>
      </w:r>
    </w:p>
    <w:p>
      <w:pPr>
        <w:pStyle w:val="Heading4"/>
        <w:bidi/>
      </w:pPr>
      <w:r>
        <w:rPr>
          <w:rtl/>
          <w:cs/>
          <w:lang w:val="ar_AE" w:bidi="ar_AE"/>
        </w:rPr>
        <w:t>سِياقُ الرِّسَالَةِ</w:t>
      </w:r>
    </w:p>
    <w:p>
      <w:pPr>
        <w:bidi/>
      </w:pPr>
      <w:r>
        <w:rPr>
          <w:rtl/>
          <w:cs/>
          <w:lang w:val="ar_AE" w:bidi="ar_AE"/>
        </w:rPr>
      </w:r>
      <w:r>
        <w:rPr>
          <w:rtl/>
          <w:cs/>
          <w:lang w:val="ar_AE" w:bidi="ar_AE"/>
        </w:rPr>
        <w:t>من المحتملِ أن تكونَ الرِّسَالَةَ الثَّانِيةَ للرَّسُول بُطْرُس قد كُتِبَتْ لنفسِ مجموعةِ المسيحيين الذين تَلَقُّوا الرِّسَالَةِ الأًولَى (</w:t>
      </w:r>
      <w:r>
        <w:rPr>
          <w:rtl/>
          <w:cs/>
          <w:lang w:val="ar_AE" w:bidi="ar_AE"/>
        </w:rPr>
        <w:t>1 بُطْرُس 1:1</w:t>
      </w:r>
      <w:r>
        <w:rPr>
          <w:rtl/>
          <w:cs/>
          <w:lang w:val="ar_AE" w:bidi="ar_AE"/>
        </w:rPr>
        <w:t xml:space="preserve">؛ انْظُرْ </w:t>
      </w:r>
      <w:r>
        <w:rPr>
          <w:rtl/>
          <w:cs/>
          <w:lang w:val="ar_AE" w:bidi="ar_AE"/>
        </w:rPr>
        <w:t>2 بُطْرُس 3:1</w:t>
      </w:r>
      <w:r>
        <w:rPr>
          <w:rtl/>
          <w:cs/>
          <w:lang w:val="ar_AE" w:bidi="ar_AE"/>
        </w:rPr>
        <w:t>). نحن لا نَعْرِفُ على وجه اليقين هل زَارَ الرَّسُولُ بُطْرُس آسِيَّا الصُّغْرَى أم لا، كما أن العَهْدَ الجَدِيدَ يُقَدِّمُ لنا معلوماتٍ قليلةً عن تحركاتِهِ بعد مغادَرَتِهِ أورشليم سنة 44م تقريبًا (</w:t>
      </w:r>
      <w:r>
        <w:rPr>
          <w:rtl/>
          <w:cs/>
          <w:lang w:val="ar_AE" w:bidi="ar_AE"/>
        </w:rPr>
        <w:t>أعمال الرُّسُل 12:16–17</w:t>
      </w:r>
      <w:r>
        <w:rPr>
          <w:rtl/>
          <w:cs/>
          <w:lang w:val="ar_AE" w:bidi="ar_AE"/>
        </w:rPr>
        <w:t>). نَعْلَمُ أنَّه كان في روما في أوائلِ السِّتِّينياتِ من القرنِ الأوَّل الميلادي. ومن المفترَضِ أنه كَتَبَ الرِّسَالَةَ الثَّانِيةَ من روما بعد فترةٍ وجيزَةٍ من الرِّسَالَةِ الأُولَى. تشيرُ التقاليدُ المسيحيةُ المُبَكِّرةُ إلى أن الرَّسُولُ بُطْرُس قد مات أثناء حُكْمِ الإمبراطور نيرون سنة 64 أو 65م.</w:t>
      </w:r>
    </w:p>
    <w:p>
      <w:pPr>
        <w:pStyle w:val="Heading4"/>
        <w:bidi/>
      </w:pPr>
      <w:r>
        <w:rPr>
          <w:rtl/>
          <w:cs/>
          <w:lang w:val="ar_AE" w:bidi="ar_AE"/>
        </w:rPr>
        <w:t>مُوجَزُ الرِّسَالَةِ</w:t>
      </w:r>
    </w:p>
    <w:p>
      <w:pPr>
        <w:bidi/>
      </w:pPr>
      <w:r>
        <w:rPr>
          <w:rtl/>
          <w:cs/>
          <w:lang w:val="ar_AE" w:bidi="ar_AE"/>
        </w:rPr>
      </w:r>
      <w:r>
        <w:rPr>
          <w:rtl/>
          <w:cs/>
          <w:lang w:val="ar_AE" w:bidi="ar_AE"/>
        </w:rPr>
        <w:t>في افتتاحِيَّة الرِّسَالَةِ (</w:t>
      </w:r>
      <w:r>
        <w:rPr>
          <w:rtl/>
          <w:cs/>
          <w:lang w:val="ar_AE" w:bidi="ar_AE"/>
        </w:rPr>
        <w:t>1:1–15</w:t>
      </w:r>
      <w:r>
        <w:rPr>
          <w:rtl/>
          <w:cs/>
          <w:lang w:val="ar_AE" w:bidi="ar_AE"/>
        </w:rPr>
        <w:t>)، يُعَرِّفُ الرَّسُولُ بُطْرُس نفْسَه، ويحَدِّد قراءَهُ (</w:t>
      </w:r>
      <w:r>
        <w:rPr>
          <w:rtl/>
          <w:cs/>
          <w:lang w:val="ar_AE" w:bidi="ar_AE"/>
        </w:rPr>
        <w:t>1:1–2</w:t>
      </w:r>
      <w:r>
        <w:rPr>
          <w:rtl/>
          <w:cs/>
          <w:lang w:val="ar_AE" w:bidi="ar_AE"/>
        </w:rPr>
        <w:t>) مُقَدِّمًا موضوعَ انشغَالِهِ الرَّئيس، وهو أن يَنْمُو قراؤهُ في معرِفَتِهِم باللهِ والمَسِيحِ (</w:t>
      </w:r>
      <w:r>
        <w:rPr>
          <w:rtl/>
          <w:cs/>
          <w:lang w:val="ar_AE" w:bidi="ar_AE"/>
        </w:rPr>
        <w:t>1:3–11</w:t>
      </w:r>
      <w:r>
        <w:rPr>
          <w:rtl/>
          <w:cs/>
          <w:lang w:val="ar_AE" w:bidi="ar_AE"/>
        </w:rPr>
        <w:t>). كما يخبِرُهم أيضًا بشعور مُلِحٍّ بأنه ما من وقتٍ طويلٍ لديه ليعيش فيه (</w:t>
      </w:r>
      <w:r>
        <w:rPr>
          <w:rtl/>
          <w:cs/>
          <w:lang w:val="ar_AE" w:bidi="ar_AE"/>
        </w:rPr>
        <w:t>1:12–15</w:t>
      </w:r>
      <w:r>
        <w:rPr>
          <w:rtl/>
          <w:cs/>
          <w:lang w:val="ar_AE" w:bidi="ar_AE"/>
        </w:rPr>
        <w:t>).</w:t>
      </w:r>
    </w:p>
    <w:p>
      <w:pPr>
        <w:bidi/>
      </w:pPr>
      <w:r>
        <w:rPr>
          <w:rtl/>
          <w:cs/>
          <w:lang w:val="ar_AE" w:bidi="ar_AE"/>
        </w:rPr>
      </w:r>
      <w:r>
        <w:rPr>
          <w:rtl/>
          <w:cs/>
          <w:lang w:val="ar_AE" w:bidi="ar_AE"/>
        </w:rPr>
        <w:t>الفصل 2</w:t>
      </w:r>
      <w:r>
        <w:rPr>
          <w:rtl/>
          <w:cs/>
          <w:lang w:val="ar_AE" w:bidi="ar_AE"/>
        </w:rPr>
        <w:t xml:space="preserve"> يُمَثِّل النُّقْطَة المَرْكزية لهذه الرِّسَالَةِ، حيث يقومُ الرَّسُولُ بُطْرُس بوصْفِ وإدانة المُعَلِّمِين الكَذَبَةِ. ويُهَيِّئُ لهذه الإدانةِ بالتأكيد على يقينِ عودَةِ المَسِيحِ في المجدِ (</w:t>
      </w:r>
      <w:r>
        <w:rPr>
          <w:rtl/>
          <w:cs/>
          <w:lang w:val="ar_AE" w:bidi="ar_AE"/>
        </w:rPr>
        <w:t>1:16–21</w:t>
      </w:r>
      <w:r>
        <w:rPr>
          <w:rtl/>
          <w:cs/>
          <w:lang w:val="ar_AE" w:bidi="ar_AE"/>
        </w:rPr>
        <w:t>). من الواضحِ أن المُعَلِّمِين الكَذَبَةِ قد ساورهم الارتيابُ في عَودَةِ المَسِيح والدينونَةِ النهائيَّةِ.</w:t>
      </w:r>
    </w:p>
    <w:p>
      <w:pPr>
        <w:bidi/>
      </w:pPr>
      <w:r>
        <w:rPr>
          <w:rtl/>
          <w:cs/>
          <w:lang w:val="ar_AE" w:bidi="ar_AE"/>
        </w:rPr>
      </w:r>
      <w:r>
        <w:rPr>
          <w:rtl/>
          <w:cs/>
          <w:lang w:val="ar_AE" w:bidi="ar_AE"/>
        </w:rPr>
        <w:t>يَشْجُبُ الرَّسُولُ بُطْرُس المُعَلِّمِين الكَذَبَةِ عبر أربعِ مراحل: يَتَنَبَّأ بِقُدُومِ المُعَلِّمِين الكَذَبَةِ (</w:t>
      </w:r>
      <w:r>
        <w:rPr>
          <w:rtl/>
          <w:cs/>
          <w:lang w:val="ar_AE" w:bidi="ar_AE"/>
        </w:rPr>
        <w:t>2:1–3</w:t>
      </w:r>
      <w:r>
        <w:rPr>
          <w:rtl/>
          <w:cs/>
          <w:lang w:val="ar_AE" w:bidi="ar_AE"/>
        </w:rPr>
        <w:t>)، يؤكِّد على أن الله سيَدِينُهم لكنه سَيُنْقِذُ الأَبْرَارَ (</w:t>
      </w:r>
      <w:r>
        <w:rPr>
          <w:rtl/>
          <w:cs/>
          <w:lang w:val="ar_AE" w:bidi="ar_AE"/>
        </w:rPr>
        <w:t>2:4–10</w:t>
      </w:r>
      <w:r>
        <w:rPr>
          <w:rtl/>
          <w:cs/>
          <w:lang w:val="ar_AE" w:bidi="ar_AE"/>
        </w:rPr>
        <w:t>)، يستعرضُ خطايا المُعَلِّمِين الكَذَبَةِ (</w:t>
      </w:r>
      <w:r>
        <w:rPr>
          <w:rtl/>
          <w:cs/>
          <w:lang w:val="ar_AE" w:bidi="ar_AE"/>
        </w:rPr>
        <w:t>2:10–16</w:t>
      </w:r>
      <w:r>
        <w:rPr>
          <w:rtl/>
          <w:cs/>
          <w:lang w:val="ar_AE" w:bidi="ar_AE"/>
        </w:rPr>
        <w:t>), ويُصَرِّحُ بهلاكِهِم (</w:t>
      </w:r>
      <w:r>
        <w:rPr>
          <w:rtl/>
          <w:cs/>
          <w:lang w:val="ar_AE" w:bidi="ar_AE"/>
        </w:rPr>
        <w:t>2:17–22</w:t>
      </w:r>
      <w:r>
        <w:rPr>
          <w:rtl/>
          <w:cs/>
          <w:lang w:val="ar_AE" w:bidi="ar_AE"/>
        </w:rPr>
        <w:t>).</w:t>
      </w:r>
    </w:p>
    <w:p>
      <w:pPr>
        <w:bidi/>
      </w:pPr>
      <w:r>
        <w:rPr>
          <w:rtl/>
          <w:cs/>
          <w:lang w:val="ar_AE" w:bidi="ar_AE"/>
        </w:rPr>
      </w:r>
      <w:r>
        <w:rPr>
          <w:rtl/>
          <w:cs/>
          <w:lang w:val="ar_AE" w:bidi="ar_AE"/>
        </w:rPr>
        <w:t>بعد مزيدٍ من التأكيدِ والإصْرارِ على أن المَسِيح سَيَعُودُ بالفعلِ في المَجْدِ لِيُغَيِّرَ العَالَمَ (</w:t>
      </w:r>
      <w:r>
        <w:rPr>
          <w:rtl/>
          <w:cs/>
          <w:lang w:val="ar_AE" w:bidi="ar_AE"/>
        </w:rPr>
        <w:t>3:1–13</w:t>
      </w:r>
      <w:r>
        <w:rPr>
          <w:rtl/>
          <w:cs/>
          <w:lang w:val="ar_AE" w:bidi="ar_AE"/>
        </w:rPr>
        <w:t>)، يُنْهٍي الرَّسُولُ بُطْرُس رِسَالَتَهُ كما بَدَأَ، بالصَّلاةِ لكي يَنْمُو قراؤه "</w:t>
      </w:r>
      <w:r>
        <w:rPr>
          <w:rtl/>
          <w:cs/>
          <w:lang w:val="ar_AE" w:bidi="ar_AE"/>
        </w:rPr>
        <w:t>فِي ٱلنِّعْمَةِ وَفِي مَعْرِفَةِ رَبِّنَا وَمُخَلِّصِنَا يَسُوعَ ٱلْمَسِيحِ</w:t>
      </w:r>
      <w:r>
        <w:rPr>
          <w:rtl/>
          <w:cs/>
          <w:lang w:val="ar_AE" w:bidi="ar_AE"/>
        </w:rPr>
        <w:t>" (</w:t>
      </w:r>
      <w:r>
        <w:rPr>
          <w:rtl/>
          <w:cs/>
          <w:lang w:val="ar_AE" w:bidi="ar_AE"/>
        </w:rPr>
        <w:t>3:18</w:t>
      </w:r>
      <w:r>
        <w:rPr>
          <w:rtl/>
          <w:cs/>
          <w:lang w:val="ar_AE" w:bidi="ar_AE"/>
        </w:rPr>
        <w:t xml:space="preserve">؛ انْظُرْ </w:t>
      </w:r>
      <w:r>
        <w:rPr>
          <w:rtl/>
          <w:cs/>
          <w:lang w:val="ar_AE" w:bidi="ar_AE"/>
        </w:rPr>
        <w:t>1:3–11</w:t>
      </w:r>
      <w:r>
        <w:rPr>
          <w:rtl/>
          <w:cs/>
          <w:lang w:val="ar_AE" w:bidi="ar_AE"/>
        </w:rPr>
        <w:t>).</w:t>
      </w:r>
    </w:p>
    <w:p>
      <w:pPr>
        <w:pStyle w:val="Heading4"/>
        <w:bidi/>
      </w:pPr>
      <w:r>
        <w:rPr>
          <w:rtl/>
          <w:cs/>
          <w:lang w:val="ar_AE" w:bidi="ar_AE"/>
        </w:rPr>
        <w:t>كَاتِبُ الرِّسَالَةِ</w:t>
      </w:r>
    </w:p>
    <w:p>
      <w:pPr>
        <w:bidi/>
      </w:pPr>
      <w:r>
        <w:rPr>
          <w:rtl/>
          <w:cs/>
          <w:lang w:val="ar_AE" w:bidi="ar_AE"/>
        </w:rPr>
      </w:r>
      <w:r>
        <w:rPr>
          <w:rtl/>
          <w:cs/>
          <w:lang w:val="ar_AE" w:bidi="ar_AE"/>
        </w:rPr>
        <w:t xml:space="preserve">يُقَدِّم الكاتِبُ نفسَهُ بأنه </w:t>
      </w:r>
      <w:r>
        <w:rPr>
          <w:rtl/>
          <w:cs/>
          <w:lang w:val="ar_AE" w:bidi="ar_AE"/>
        </w:rPr>
        <w:t>سِمْعَانُ بُطْرُسُ</w:t>
      </w:r>
      <w:r>
        <w:rPr>
          <w:rtl/>
          <w:cs/>
          <w:lang w:val="ar_AE" w:bidi="ar_AE"/>
        </w:rPr>
        <w:t xml:space="preserve"> (</w:t>
      </w:r>
      <w:r>
        <w:rPr>
          <w:rtl/>
          <w:cs/>
          <w:lang w:val="ar_AE" w:bidi="ar_AE"/>
        </w:rPr>
        <w:t>1:1</w:t>
      </w:r>
      <w:r>
        <w:rPr>
          <w:rtl/>
          <w:cs/>
          <w:lang w:val="ar_AE" w:bidi="ar_AE"/>
        </w:rPr>
        <w:t xml:space="preserve">)، وأنه </w:t>
      </w:r>
      <w:r>
        <w:rPr>
          <w:rtl/>
          <w:cs/>
          <w:lang w:val="ar_AE" w:bidi="ar_AE"/>
        </w:rPr>
        <w:t>عَبْدُ يَسُوعَ ٱلْمَسِيحِ وَرَسُولُهُ</w:t>
      </w:r>
      <w:r>
        <w:rPr>
          <w:rtl/>
          <w:cs/>
          <w:lang w:val="ar_AE" w:bidi="ar_AE"/>
        </w:rPr>
        <w:t xml:space="preserve">. كما يقرِّر بأن </w:t>
      </w:r>
      <w:r>
        <w:rPr>
          <w:rtl/>
          <w:cs/>
          <w:lang w:val="ar_AE" w:bidi="ar_AE"/>
        </w:rPr>
        <w:t>ما يَكْتُبُه لقرائِهِ هو رِسَالَةٌ ثَانِيَةٌ</w:t>
      </w:r>
      <w:r>
        <w:rPr>
          <w:rtl/>
          <w:cs/>
          <w:lang w:val="ar_AE" w:bidi="ar_AE"/>
        </w:rPr>
        <w:t xml:space="preserve"> (</w:t>
      </w:r>
      <w:r>
        <w:rPr>
          <w:rtl/>
          <w:cs/>
          <w:lang w:val="ar_AE" w:bidi="ar_AE"/>
        </w:rPr>
        <w:t>3:1</w:t>
      </w:r>
      <w:r>
        <w:rPr>
          <w:rtl/>
          <w:cs/>
          <w:lang w:val="ar_AE" w:bidi="ar_AE"/>
        </w:rPr>
        <w:t>). وبكلِّ تأكيدٍ، بخلاف رسالَتِهِ الأُولَى إليهم.</w:t>
      </w:r>
    </w:p>
    <w:p>
      <w:pPr>
        <w:bidi/>
      </w:pPr>
      <w:r>
        <w:rPr>
          <w:rtl/>
          <w:cs/>
          <w:lang w:val="ar_AE" w:bidi="ar_AE"/>
        </w:rPr>
      </w:r>
      <w:r>
        <w:rPr>
          <w:rtl/>
          <w:cs/>
          <w:lang w:val="ar_AE" w:bidi="ar_AE"/>
        </w:rPr>
        <w:t xml:space="preserve">ومع ذلك، تَخْتَلِفُ الرِّسَالَةُ الثَّانِيةُ للرَّسُول بُطْرُس عن رسالَتِهِ الأُولَى بِطُرُقٍ كثيرةٍ، في حين أنها تحتوي على تشابهاتٍ مذهلةٍ مع رِسَالَةِ يَهُوذَا. بسَبَبِ هذا، يَعْتَقِدُ بعضُ المُفَسِّرِين أن شخْصًا آخر قد قام بكتابةِ الرِّسَالَةُ الثَّانِيةُ. إلا أن هذا الاستنتاج غيرُ ضروريٌّ لأن الرِّسَالَةَ الثَّانِيةُ تتعامَلُ مع ظَرْفٍ مختَلِفٍ تمامًا عن الرِّسَالَةِ الأُولَى؛ وعلى نحوٍ طبيعِيٍّ، تَخْتَلِفُ اللُّغَةِ والمفاهيم. وإضافَةً إلى ذلك، من الممكِنِ أن يكون سِيلَا (السكرتير الكاتِبُ للرَّسُول بُطْرُس، والمعروف أيضًا باسم سِلْوانُس في </w:t>
      </w:r>
      <w:r>
        <w:rPr>
          <w:rtl/>
          <w:cs/>
          <w:lang w:val="ar_AE" w:bidi="ar_AE"/>
        </w:rPr>
        <w:t>1 بُطْرُس 5:12</w:t>
      </w:r>
      <w:r>
        <w:rPr>
          <w:rtl/>
          <w:cs/>
          <w:lang w:val="ar_AE" w:bidi="ar_AE"/>
        </w:rPr>
        <w:t>) هو المسؤول عن الصياغة التعبيرية للرِّسَالَةِ الأُولَى، في حين استَخْدَمَ الرَّسُول بُطْرُس كاتِبًا آخر لكتابَةِ رسالَتَهُ الثَّانِيَةَ.</w:t>
      </w:r>
    </w:p>
    <w:p>
      <w:pPr>
        <w:pStyle w:val="Heading4"/>
        <w:bidi/>
      </w:pPr>
      <w:r>
        <w:rPr>
          <w:rtl/>
          <w:cs/>
          <w:lang w:val="ar_AE" w:bidi="ar_AE"/>
        </w:rPr>
        <w:t>العَلَاقَةُ مَعَ يَهُوذَا</w:t>
      </w:r>
    </w:p>
    <w:p>
      <w:pPr>
        <w:bidi/>
      </w:pPr>
      <w:r>
        <w:rPr>
          <w:rtl/>
          <w:cs/>
          <w:lang w:val="ar_AE" w:bidi="ar_AE"/>
        </w:rPr>
      </w:r>
      <w:r>
        <w:rPr>
          <w:rtl/>
          <w:cs/>
          <w:lang w:val="ar_AE" w:bidi="ar_AE"/>
        </w:rPr>
        <w:t xml:space="preserve">لا يمكِنُ الإنكارُ بأن هناك نوعًا من العَلاقَةِ الأَدَبِيَّةِ بين الرِّسَالَةُ الثَّانِيةُ للرَّسُول بُطْرُس، ورِسَالَةِ يَهُوذَا. تستَخْدِمُ الرِّسَالَتان الكثير من التعبيراتِ الغريبة، الأمرُ الذي يجعلُ التشابهاتِ بينهما لَيْسَتْ من بابِ الصُّدْفَةِ أو أنه نتيجةٌ لتقليدٍ شَفَاهِيٍّ مشتركٍ (قارن </w:t>
      </w:r>
      <w:r>
        <w:rPr>
          <w:rtl/>
          <w:cs/>
          <w:lang w:val="ar_AE" w:bidi="ar_AE"/>
        </w:rPr>
        <w:t>2 بُطْرُس 2:3</w:t>
      </w:r>
      <w:r>
        <w:rPr>
          <w:rtl/>
          <w:cs/>
          <w:lang w:val="ar_AE" w:bidi="ar_AE"/>
        </w:rPr>
        <w:t xml:space="preserve"> // </w:t>
      </w:r>
      <w:r>
        <w:rPr>
          <w:rtl/>
          <w:cs/>
          <w:lang w:val="ar_AE" w:bidi="ar_AE"/>
        </w:rPr>
        <w:t>يَهُوذَا 1:4</w:t>
      </w:r>
      <w:r>
        <w:rPr>
          <w:rtl/>
          <w:cs/>
          <w:lang w:val="ar_AE" w:bidi="ar_AE"/>
        </w:rPr>
        <w:t xml:space="preserve">؛ </w:t>
      </w:r>
      <w:r>
        <w:rPr>
          <w:rtl/>
          <w:cs/>
          <w:lang w:val="ar_AE" w:bidi="ar_AE"/>
        </w:rPr>
        <w:t>2 بُطْرُس 2:4</w:t>
      </w:r>
      <w:r>
        <w:rPr>
          <w:rtl/>
          <w:cs/>
          <w:lang w:val="ar_AE" w:bidi="ar_AE"/>
        </w:rPr>
        <w:t xml:space="preserve"> // </w:t>
      </w:r>
      <w:r>
        <w:rPr>
          <w:rtl/>
          <w:cs/>
          <w:lang w:val="ar_AE" w:bidi="ar_AE"/>
        </w:rPr>
        <w:t>يَهُوذَا 1:6</w:t>
      </w:r>
      <w:r>
        <w:rPr>
          <w:rtl/>
          <w:cs/>
          <w:lang w:val="ar_AE" w:bidi="ar_AE"/>
        </w:rPr>
        <w:t xml:space="preserve">؛ </w:t>
      </w:r>
      <w:r>
        <w:rPr>
          <w:rtl/>
          <w:cs/>
          <w:lang w:val="ar_AE" w:bidi="ar_AE"/>
        </w:rPr>
        <w:t xml:space="preserve">2 </w:t>
      </w:r>
      <w:r>
        <w:rPr>
          <w:rtl/>
          <w:cs/>
          <w:lang w:val="ar_AE" w:bidi="ar_AE"/>
        </w:rPr>
        <w:t xml:space="preserve">بُطْرُس </w:t>
      </w:r>
      <w:r>
        <w:rPr>
          <w:rtl/>
          <w:cs/>
          <w:lang w:val="ar_AE" w:bidi="ar_AE"/>
        </w:rPr>
        <w:t>2:6</w:t>
      </w:r>
      <w:r>
        <w:rPr>
          <w:rtl/>
          <w:cs/>
          <w:lang w:val="ar_AE" w:bidi="ar_AE"/>
        </w:rPr>
        <w:t xml:space="preserve"> // </w:t>
      </w:r>
      <w:r>
        <w:rPr>
          <w:rtl/>
          <w:cs/>
          <w:lang w:val="ar_AE" w:bidi="ar_AE"/>
        </w:rPr>
        <w:t>يَهُوذَا 1:7</w:t>
      </w:r>
      <w:r>
        <w:rPr>
          <w:rtl/>
          <w:cs/>
          <w:lang w:val="ar_AE" w:bidi="ar_AE"/>
        </w:rPr>
        <w:t xml:space="preserve">؛ </w:t>
      </w:r>
      <w:r>
        <w:rPr>
          <w:rtl/>
          <w:cs/>
          <w:lang w:val="ar_AE" w:bidi="ar_AE"/>
        </w:rPr>
        <w:t xml:space="preserve">2 </w:t>
      </w:r>
      <w:r>
        <w:rPr>
          <w:rtl/>
          <w:cs/>
          <w:lang w:val="ar_AE" w:bidi="ar_AE"/>
        </w:rPr>
        <w:t xml:space="preserve">بُطْرُس </w:t>
      </w:r>
      <w:r>
        <w:rPr>
          <w:rtl/>
          <w:cs/>
          <w:lang w:val="ar_AE" w:bidi="ar_AE"/>
        </w:rPr>
        <w:t>2:10</w:t>
      </w:r>
      <w:r>
        <w:rPr>
          <w:rtl/>
          <w:cs/>
          <w:lang w:val="ar_AE" w:bidi="ar_AE"/>
        </w:rPr>
        <w:t xml:space="preserve"> // </w:t>
      </w:r>
      <w:r>
        <w:rPr>
          <w:rtl/>
          <w:cs/>
          <w:lang w:val="ar_AE" w:bidi="ar_AE"/>
        </w:rPr>
        <w:t>يَهُوذَا 1:8</w:t>
      </w:r>
      <w:r>
        <w:rPr>
          <w:rtl/>
          <w:cs/>
          <w:lang w:val="ar_AE" w:bidi="ar_AE"/>
        </w:rPr>
        <w:t xml:space="preserve">؛ </w:t>
      </w:r>
      <w:r>
        <w:rPr>
          <w:rtl/>
          <w:cs/>
          <w:lang w:val="ar_AE" w:bidi="ar_AE"/>
        </w:rPr>
        <w:t>2 بطْرس 2:11</w:t>
      </w:r>
      <w:r>
        <w:rPr>
          <w:rtl/>
          <w:cs/>
          <w:lang w:val="ar_AE" w:bidi="ar_AE"/>
        </w:rPr>
        <w:t xml:space="preserve"> // </w:t>
      </w:r>
      <w:r>
        <w:rPr>
          <w:rtl/>
          <w:cs/>
          <w:lang w:val="ar_AE" w:bidi="ar_AE"/>
        </w:rPr>
        <w:t>يَهوذَا 1:9</w:t>
      </w:r>
      <w:r>
        <w:rPr>
          <w:rtl/>
          <w:cs/>
          <w:lang w:val="ar_AE" w:bidi="ar_AE"/>
        </w:rPr>
        <w:t xml:space="preserve">؛ </w:t>
      </w:r>
      <w:r>
        <w:rPr>
          <w:rtl/>
          <w:cs/>
          <w:lang w:val="ar_AE" w:bidi="ar_AE"/>
        </w:rPr>
        <w:t xml:space="preserve">2 </w:t>
      </w:r>
      <w:r>
        <w:rPr>
          <w:rtl/>
          <w:cs/>
          <w:lang w:val="ar_AE" w:bidi="ar_AE"/>
        </w:rPr>
        <w:t xml:space="preserve">بُطْرُس </w:t>
      </w:r>
      <w:r>
        <w:rPr>
          <w:rtl/>
          <w:cs/>
          <w:lang w:val="ar_AE" w:bidi="ar_AE"/>
        </w:rPr>
        <w:t>2:13</w:t>
      </w:r>
      <w:r>
        <w:rPr>
          <w:rtl/>
          <w:cs/>
          <w:lang w:val="ar_AE" w:bidi="ar_AE"/>
        </w:rPr>
        <w:t xml:space="preserve">، </w:t>
      </w:r>
      <w:r>
        <w:rPr>
          <w:rtl/>
          <w:cs/>
          <w:lang w:val="ar_AE" w:bidi="ar_AE"/>
        </w:rPr>
        <w:t>17</w:t>
      </w:r>
      <w:r>
        <w:rPr>
          <w:rtl/>
          <w:cs/>
          <w:lang w:val="ar_AE" w:bidi="ar_AE"/>
        </w:rPr>
        <w:t xml:space="preserve"> // </w:t>
      </w:r>
      <w:r>
        <w:rPr>
          <w:rtl/>
          <w:cs/>
          <w:lang w:val="ar_AE" w:bidi="ar_AE"/>
        </w:rPr>
        <w:t>يَهُوذَا 1:12</w:t>
      </w:r>
      <w:r>
        <w:rPr>
          <w:rtl/>
          <w:cs/>
          <w:lang w:val="ar_AE" w:bidi="ar_AE"/>
        </w:rPr>
        <w:t xml:space="preserve">؛ </w:t>
      </w:r>
      <w:r>
        <w:rPr>
          <w:rtl/>
          <w:cs/>
          <w:lang w:val="ar_AE" w:bidi="ar_AE"/>
        </w:rPr>
        <w:t xml:space="preserve">2 </w:t>
      </w:r>
      <w:r>
        <w:rPr>
          <w:rtl/>
          <w:cs/>
          <w:lang w:val="ar_AE" w:bidi="ar_AE"/>
        </w:rPr>
        <w:t xml:space="preserve">بُطْرُس </w:t>
      </w:r>
      <w:r>
        <w:rPr>
          <w:rtl/>
          <w:cs/>
          <w:lang w:val="ar_AE" w:bidi="ar_AE"/>
        </w:rPr>
        <w:t>3:3</w:t>
      </w:r>
      <w:r>
        <w:rPr>
          <w:rtl/>
          <w:cs/>
          <w:lang w:val="ar_AE" w:bidi="ar_AE"/>
        </w:rPr>
        <w:t xml:space="preserve"> // </w:t>
      </w:r>
      <w:r>
        <w:rPr>
          <w:rtl/>
          <w:cs/>
          <w:lang w:val="ar_AE" w:bidi="ar_AE"/>
        </w:rPr>
        <w:t>يَهُوذَا 1:8</w:t>
      </w:r>
      <w:r>
        <w:rPr>
          <w:rtl/>
          <w:cs/>
          <w:lang w:val="ar_AE" w:bidi="ar_AE"/>
        </w:rPr>
        <w:t>). يمكِنُ تفسيرُ هذه العَلاقَةَ بواحدة من ثلاثِ طُرُقٍ: (1) استعارَ يَهُوذَا من الرِّسَالَةُ الثَّانِيةُ للرَّسُول بُطْرُس؛ (2) اسْتَعَارَتْ الرِّسَالَةُ الثَّانِيةُ للرَّسُول بُطْرُس من رِسَالَة يَهُوذَا؛ أو (3) اسْتَعَارَتْ الرِّسَالَتان من مصدَرٍ أَدَبِيٍّ مشتركٍ لكنه مفقودٌ الآن. الخيار الثَّانِي هو الأكثرُ شيوعًا، على الرُّغم من أن الخيارَ الأوَّلَ ممكن بنفْسِ القَدْرِ. أما الخِيارُ الثَّالِثُ فهو أقلُّ احتِمَالًا، لأنه أكثر تعقيدًا وغيرُ ضروريٌّ. أيًا كان الكاتِبُ الذي اسْتَعَارَ من الآخر، فقد واجه كلاهما، على ما يبدو، نفس الظَّرْفِ، فَوجَدَ أحدُهما أن ما كَتَبَهُ الآخر مناسبًا لمقاصدِهِ الخَاصَّة. هذه النوعية من الاسْتِعَارَةِ شائِعَةٌ في العَالَمِ القدِيمِ؛ فَبدلاً من النَّظَرِ إليها كَسَرِقَةٍ أَدَبِيَّةٍ كانَ يُنْظَرُ إليها كنوعٍ من المُجَامَلَةِ.</w:t>
      </w:r>
    </w:p>
    <w:p>
      <w:pPr>
        <w:pStyle w:val="Heading4"/>
        <w:bidi/>
      </w:pPr>
      <w:r>
        <w:rPr>
          <w:b/>
          <w:rtl/>
          <w:cs/>
          <w:lang w:val="ar_AE" w:bidi="ar_AE"/>
        </w:rPr>
        <w:t>المُعَلِّمُون الكَذَبَةُ</w:t>
      </w:r>
    </w:p>
    <w:p>
      <w:pPr>
        <w:bidi/>
      </w:pPr>
      <w:r>
        <w:rPr>
          <w:rtl/>
          <w:cs/>
          <w:lang w:val="ar_AE" w:bidi="ar_AE"/>
        </w:rPr>
      </w:r>
      <w:r>
        <w:rPr>
          <w:rtl/>
          <w:cs/>
          <w:lang w:val="ar_AE" w:bidi="ar_AE"/>
        </w:rPr>
        <w:t>إن المُعَلِّمِين الكَذَبَةِ الذين يَشْجُبُهم الرَّسُول بُطْرُس لا يمكن وصفُهم بأيَّة هرطقَةٍ معروفةٍ في الكنيسَةِ القديمَةِ. بناءً على فسْقِهِم وارتيابهم، افترضَ هؤلاء المُعَلِّمُون الكَذَبَةُ أن نعمَةَ اللهِ تبيحُ لهم الحرِّيَّةَ للقيامِ بأيِّ شيءٍ يرغبونه (</w:t>
      </w:r>
      <w:r>
        <w:rPr>
          <w:rtl/>
          <w:cs/>
          <w:lang w:val="ar_AE" w:bidi="ar_AE"/>
        </w:rPr>
        <w:t>2 بُطْرُس 2:19–20</w:t>
      </w:r>
      <w:r>
        <w:rPr>
          <w:rtl/>
          <w:cs/>
          <w:lang w:val="ar_AE" w:bidi="ar_AE"/>
        </w:rPr>
        <w:t xml:space="preserve">). لم يجدوا نفعًا في أيَّة سُلْطَةٍ عليهم (انْظُرْ </w:t>
      </w:r>
      <w:r>
        <w:rPr>
          <w:rtl/>
          <w:cs/>
          <w:lang w:val="ar_AE" w:bidi="ar_AE"/>
        </w:rPr>
        <w:t>2:10–11</w:t>
      </w:r>
      <w:r>
        <w:rPr>
          <w:rtl/>
          <w:cs/>
          <w:lang w:val="ar_AE" w:bidi="ar_AE"/>
        </w:rPr>
        <w:t>). انْخَرَطُوا في ممارسات جنسيَّةٍ مُحَرَّمَة، انْغَمَسُوا بإفراطٍ في الشُّرْبِ والأَكلِ، والطَّمَعِ (</w:t>
      </w:r>
      <w:r>
        <w:rPr>
          <w:rtl/>
          <w:cs/>
          <w:lang w:val="ar_AE" w:bidi="ar_AE"/>
        </w:rPr>
        <w:t>2:13–20</w:t>
      </w:r>
      <w:r>
        <w:rPr>
          <w:rtl/>
          <w:cs/>
          <w:lang w:val="ar_AE" w:bidi="ar_AE"/>
        </w:rPr>
        <w:t>). ربما كانوا الروَّاد الأوائِلَ لما عرِفَ بالغُنُوسِيَّة اللاحِقَة في القَرن الثاني الميلادي.</w:t>
      </w:r>
    </w:p>
    <w:p>
      <w:pPr>
        <w:pStyle w:val="Heading4"/>
        <w:bidi/>
      </w:pPr>
      <w:r>
        <w:rPr>
          <w:rtl/>
          <w:cs/>
          <w:lang w:val="ar_AE" w:bidi="ar_AE"/>
        </w:rPr>
        <w:t>مَضْمُون ومَغْزَى الرِّسَالَةِ</w:t>
      </w:r>
    </w:p>
    <w:p>
      <w:pPr>
        <w:bidi/>
      </w:pPr>
      <w:r>
        <w:rPr>
          <w:rtl/>
          <w:cs/>
          <w:lang w:val="ar_AE" w:bidi="ar_AE"/>
        </w:rPr>
      </w:r>
      <w:r>
        <w:rPr>
          <w:rtl/>
          <w:cs/>
          <w:lang w:val="ar_AE" w:bidi="ar_AE"/>
        </w:rPr>
        <w:t>إن الإنشغالَ بوجُودِ المُعَلِّمِين الكَذَبَةِ في الكنيسة هو ما يَسُودُ الرِّسَالَةَ الثَّانِيةَ للرَّسُول بُطْرُس. على الرُّغم من أن هؤلاء الإباحِيِّين كانُوا يَدَّعُون أنهم مسيحِيُّون (</w:t>
      </w:r>
      <w:r>
        <w:rPr>
          <w:rtl/>
          <w:cs/>
          <w:lang w:val="ar_AE" w:bidi="ar_AE"/>
        </w:rPr>
        <w:t>2:1،</w:t>
      </w:r>
      <w:r>
        <w:rPr>
          <w:rtl/>
          <w:cs/>
          <w:lang w:val="ar_AE" w:bidi="ar_AE"/>
        </w:rPr>
        <w:t xml:space="preserve"> </w:t>
      </w:r>
      <w:r>
        <w:rPr>
          <w:rtl/>
          <w:cs/>
          <w:lang w:val="ar_AE" w:bidi="ar_AE"/>
        </w:rPr>
        <w:t>21–22</w:t>
      </w:r>
      <w:r>
        <w:rPr>
          <w:rtl/>
          <w:cs/>
          <w:lang w:val="ar_AE" w:bidi="ar_AE"/>
        </w:rPr>
        <w:t>)، إلا أن الرَّسُول بُطْرُس لا يَتركُ مجالًا للشَّكِّ في أنهم معيَّنُون للدينونةِ بوصفهم متمرِّدِين على الله (</w:t>
      </w:r>
      <w:r>
        <w:rPr>
          <w:rtl/>
          <w:cs/>
          <w:lang w:val="ar_AE" w:bidi="ar_AE"/>
        </w:rPr>
        <w:t>2:3</w:t>
      </w:r>
      <w:r>
        <w:rPr>
          <w:rtl/>
          <w:cs/>
          <w:lang w:val="ar_AE" w:bidi="ar_AE"/>
        </w:rPr>
        <w:t xml:space="preserve">، </w:t>
      </w:r>
      <w:r>
        <w:rPr>
          <w:rtl/>
          <w:cs/>
          <w:lang w:val="ar_AE" w:bidi="ar_AE"/>
        </w:rPr>
        <w:t>10</w:t>
      </w:r>
      <w:r>
        <w:rPr>
          <w:rtl/>
          <w:cs/>
          <w:lang w:val="ar_AE" w:bidi="ar_AE"/>
        </w:rPr>
        <w:t>). يَكْتُبُ الرَّسُولُ هذه الرِّسَالَةَ ليُحَذِّرَ قراءه لكي يَرْفُضُوا هؤلاء المُعَلِّمِين الكَذَبَةَ وتعاليمهم، كما يحُثُّهم على الثباتِ بكل أمانة في الإنجيلِ أيْ البشارةِ السَّارَّة. هذه الرِّسَالَةُ تَذْكِرَة في غاية الأهمية بمدى خطورة ما يكون عليه الوضع حال انحرافِ المَرْءِ عن الحّقِّ. ولهذا، يَتَعَيَّنُ على الكنيسةِ دائمًا أن تكونَ يَقِظَةً ضد من يُحَرِّفُون حَقَّ الإنجيل أي ضد كلِّ من يُمَثِّلُونهُ بكلِّ أسى في حياتهم على نحوٍ سيِّئٍ.</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