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Aggée</w:t>
      </w:r>
      <w:r>
        <w:rPr>
          <w:lang w:val="fr_FR" w:bidi="fr_FR"/>
        </w:rPr>
      </w:r>
    </w:p>
    <w:p>
      <w:pPr/>
      <w:r>
        <w:rPr>
          <w:lang w:val="fr_FR" w:bidi="fr_FR"/>
        </w:rPr>
      </w:r>
      <w:r>
        <w:rPr>
          <w:lang w:val="fr_FR" w:bidi="fr_FR"/>
        </w:rPr>
        <w:t>Le temple est encore en ruines, près de vingt ans après le retour au pays de Juda des Hébreux exilés à Babylone. Le peuple de Juda, en revanche, est de nouveau confortablement installé dans des maisons. La maison de Dieu ne devrait-elle pas également mériter un meilleur sort ? Aggée souligne cette disparité et incite avec succès le peuple à reconstruire la maison de l'Éternel. Il renouvelle la vision d'Israël sur la manière dont leurs efforts doivent servir le plan de Dieu pour son peuple.</w:t>
      </w:r>
    </w:p>
    <w:p>
      <w:pPr>
        <w:pStyle w:val="Heading2"/>
      </w:pPr>
      <w:r>
        <w:rPr>
          <w:lang w:val="fr_FR" w:bidi="fr_FR"/>
        </w:rPr>
        <w:t>Contexte</w:t>
      </w:r>
    </w:p>
    <w:p>
      <w:pPr/>
      <w:r>
        <w:rPr>
          <w:lang w:val="fr_FR" w:bidi="fr_FR"/>
        </w:rPr>
      </w:r>
      <w:r>
        <w:rPr>
          <w:lang w:val="fr_FR" w:bidi="fr_FR"/>
        </w:rPr>
        <w:t xml:space="preserve">En 538 av. J.‑C., Cyrus le Grand, roi de Perse, émet un décret permettant aux peuples conquis et déportés par les Babyloniens de retourner dans leurs patries (voir </w:t>
      </w:r>
      <w:r>
        <w:rPr>
          <w:lang w:val="fr_FR" w:bidi="fr_FR"/>
        </w:rPr>
        <w:t>Esd 1.1–11</w:t>
      </w:r>
      <w:r>
        <w:rPr>
          <w:lang w:val="fr_FR" w:bidi="fr_FR"/>
        </w:rPr>
        <w:t>). Les premiers émigrants à retourner à Jérusalem sont conduits par Scheschbatsar, le premier dirigeant de la communauté restaurée (</w:t>
      </w:r>
      <w:r>
        <w:rPr>
          <w:lang w:val="fr_FR" w:bidi="fr_FR"/>
        </w:rPr>
        <w:t>Esd 1.5–11</w:t>
      </w:r>
      <w:r>
        <w:rPr>
          <w:lang w:val="fr_FR" w:bidi="fr_FR"/>
        </w:rPr>
        <w:t>). Dans leur enthousiasme, les exilés de retour au pays commencent rapidement à reconstruire l'autel et le temple (</w:t>
      </w:r>
      <w:r>
        <w:rPr>
          <w:lang w:val="fr_FR" w:bidi="fr_FR"/>
        </w:rPr>
        <w:t>Esd 3.1–13</w:t>
      </w:r>
      <w:r>
        <w:rPr>
          <w:lang w:val="fr_FR" w:bidi="fr_FR"/>
        </w:rPr>
        <w:t>), mais les résidents païens locaux menacent les Israélites et les découragent du mandat que Dieu leur avait assigné (</w:t>
      </w:r>
      <w:r>
        <w:rPr>
          <w:lang w:val="fr_FR" w:bidi="fr_FR"/>
        </w:rPr>
        <w:t>Esd 4.4–24</w:t>
      </w:r>
      <w:r>
        <w:rPr>
          <w:lang w:val="fr_FR" w:bidi="fr_FR"/>
        </w:rPr>
        <w:t>). Le chantier de la reconstruction reste ainsi à l'abandon pendant près de vingt ans après leur retour.</w:t>
      </w:r>
    </w:p>
    <w:p>
      <w:pPr/>
      <w:r>
        <w:rPr>
          <w:lang w:val="fr_FR" w:bidi="fr_FR"/>
        </w:rPr>
      </w:r>
      <w:r>
        <w:rPr>
          <w:lang w:val="fr_FR" w:bidi="fr_FR"/>
        </w:rPr>
        <w:t>Le peuple hébreu traverse une période sombre. L'égoïsme paralyse l'esprit communautaire, et l'apathie et la désillusion nuisent au culte. Seul un petit pourcentage d'Hébreux exilés est véritablement retourné à Juda. Les murs de la ville sont encore en ruines. La maison de Dieu est un tas de décombres. La sécheresse ainsi que le mildiou ravagent la terre. Juda dépérit en tant que région vassale de la Perse, tandis que les nations environnantes harcèlent les dirigeants de Jérusalem et contrecarrent leurs timides efforts d'amélioration.</w:t>
      </w:r>
    </w:p>
    <w:p>
      <w:pPr/>
      <w:r>
        <w:rPr>
          <w:lang w:val="fr_FR" w:bidi="fr_FR"/>
        </w:rPr>
      </w:r>
      <w:r>
        <w:rPr>
          <w:lang w:val="fr_FR" w:bidi="fr_FR"/>
        </w:rPr>
        <w:t>Lorsque Aggée commence à prêcher en 520 av. J.‑C., une grande sécheresse accable le pays (</w:t>
      </w:r>
      <w:r>
        <w:rPr>
          <w:lang w:val="fr_FR" w:bidi="fr_FR"/>
        </w:rPr>
        <w:t>1.11</w:t>
      </w:r>
      <w:r>
        <w:rPr>
          <w:lang w:val="fr_FR" w:bidi="fr_FR"/>
        </w:rPr>
        <w:t>). Dieu l'envoie pour motiver les Israélites à reconstruire sa maison et motiver un réveil spirituel à Jérusalem. En réaction à cela, le peuple reprend la reconstruction (</w:t>
      </w:r>
      <w:r>
        <w:rPr>
          <w:lang w:val="fr_FR" w:bidi="fr_FR"/>
        </w:rPr>
        <w:t>1.14</w:t>
      </w:r>
      <w:r>
        <w:rPr>
          <w:lang w:val="fr_FR" w:bidi="fr_FR"/>
        </w:rPr>
        <w:t xml:space="preserve">), et le projet s'achève au mois de mars, en 515 av. J.‑C. (voir </w:t>
      </w:r>
      <w:r>
        <w:rPr>
          <w:lang w:val="fr_FR" w:bidi="fr_FR"/>
        </w:rPr>
        <w:t>Esd 6.15</w:t>
      </w:r>
      <w:r>
        <w:rPr>
          <w:lang w:val="fr_FR" w:bidi="fr_FR"/>
        </w:rPr>
        <w:t>).</w:t>
      </w:r>
    </w:p>
    <w:p>
      <w:pPr>
        <w:pStyle w:val="Heading2"/>
      </w:pPr>
      <w:r>
        <w:rPr>
          <w:lang w:val="fr_FR" w:bidi="fr_FR"/>
        </w:rPr>
        <w:t>Résumé</w:t>
      </w:r>
    </w:p>
    <w:p>
      <w:pPr/>
      <w:r>
        <w:rPr>
          <w:lang w:val="fr_FR" w:bidi="fr_FR"/>
        </w:rPr>
      </w:r>
      <w:r>
        <w:rPr>
          <w:lang w:val="fr_FR" w:bidi="fr_FR"/>
        </w:rPr>
        <w:t>Chacun des quatre messages d'Aggée met en lumière un problème théologique différent. Le premier sermon (</w:t>
      </w:r>
      <w:r>
        <w:rPr>
          <w:lang w:val="fr_FR" w:bidi="fr_FR"/>
        </w:rPr>
        <w:t>chap. 1</w:t>
      </w:r>
      <w:r>
        <w:rPr>
          <w:lang w:val="fr_FR" w:bidi="fr_FR"/>
        </w:rPr>
        <w:t>) invite les Judéens à cesser de donner la priorité à leur confort personnel et à se concentrer sur la restauration du culte approprié de Dieu en reconstruisant son Temple.</w:t>
      </w:r>
    </w:p>
    <w:p>
      <w:pPr/>
      <w:r>
        <w:rPr>
          <w:lang w:val="fr_FR" w:bidi="fr_FR"/>
        </w:rPr>
      </w:r>
      <w:r>
        <w:rPr>
          <w:lang w:val="fr_FR" w:bidi="fr_FR"/>
        </w:rPr>
        <w:t>Le deuxième message (</w:t>
      </w:r>
      <w:r>
        <w:rPr>
          <w:lang w:val="fr_FR" w:bidi="fr_FR"/>
        </w:rPr>
        <w:t>2.1–9</w:t>
      </w:r>
      <w:r>
        <w:rPr>
          <w:lang w:val="fr_FR" w:bidi="fr_FR"/>
        </w:rPr>
        <w:t>) rassure la communauté sur le fait que Dieu n'a pas oublié les promesses de bénédiction et de restauration annoncées par les précédents prophètes. La gloire de l'Éternel remplit à nouveau la maison (</w:t>
      </w:r>
      <w:r>
        <w:rPr>
          <w:lang w:val="fr_FR" w:bidi="fr_FR"/>
        </w:rPr>
        <w:t>2.7</w:t>
      </w:r>
      <w:r>
        <w:rPr>
          <w:lang w:val="fr_FR" w:bidi="fr_FR"/>
        </w:rPr>
        <w:t>). Ce ne sont pas seulement des paroles vides pour affermir un reste d'Israël harcelé, mais des paroles sûres de la promesse de Dieu à son peuple élu.</w:t>
      </w:r>
    </w:p>
    <w:p>
      <w:pPr/>
      <w:r>
        <w:rPr>
          <w:lang w:val="fr_FR" w:bidi="fr_FR"/>
        </w:rPr>
      </w:r>
      <w:r>
        <w:rPr>
          <w:lang w:val="fr_FR" w:bidi="fr_FR"/>
        </w:rPr>
        <w:t>Le troisième message (</w:t>
      </w:r>
      <w:r>
        <w:rPr>
          <w:lang w:val="fr_FR" w:bidi="fr_FR"/>
        </w:rPr>
        <w:t>2.10–19</w:t>
      </w:r>
      <w:r>
        <w:rPr>
          <w:lang w:val="fr_FR" w:bidi="fr_FR"/>
        </w:rPr>
        <w:t xml:space="preserve">) a pour principal thème la pureté rituelle. Aggée rappelle à son auditoire que les instructions de la loi de Moïse sont toujours en vigueur. Dieu attend de son peuple qu'il soit saint, tout comme il est saint (voir </w:t>
      </w:r>
      <w:r>
        <w:rPr>
          <w:lang w:val="fr_FR" w:bidi="fr_FR"/>
        </w:rPr>
        <w:t>Lv 11.44–45</w:t>
      </w:r>
      <w:r>
        <w:rPr>
          <w:lang w:val="fr_FR" w:bidi="fr_FR"/>
        </w:rPr>
        <w:t>).</w:t>
      </w:r>
    </w:p>
    <w:p>
      <w:pPr/>
      <w:r>
        <w:rPr>
          <w:lang w:val="fr_FR" w:bidi="fr_FR"/>
        </w:rPr>
      </w:r>
      <w:r>
        <w:rPr>
          <w:lang w:val="fr_FR" w:bidi="fr_FR"/>
        </w:rPr>
        <w:t>Le dernier message d'Aggée est peut-être le plus important (</w:t>
      </w:r>
      <w:r>
        <w:rPr>
          <w:lang w:val="fr_FR" w:bidi="fr_FR"/>
        </w:rPr>
        <w:t>2.20–23</w:t>
      </w:r>
      <w:r>
        <w:rPr>
          <w:lang w:val="fr_FR" w:bidi="fr_FR"/>
        </w:rPr>
        <w:t xml:space="preserve">), car il rétablit à leur juste place les descendants du roi David dans les domaines religieux et politique d'Israël. La dynastie de David est cruciale pour la restauration du peuple hébreu après l'exil babylonien (voir </w:t>
      </w:r>
      <w:r>
        <w:rPr>
          <w:lang w:val="fr_FR" w:bidi="fr_FR"/>
        </w:rPr>
        <w:t xml:space="preserve">Jr 23.5 </w:t>
      </w:r>
      <w:r>
        <w:rPr>
          <w:lang w:val="fr_FR" w:bidi="fr_FR"/>
        </w:rPr>
        <w:t xml:space="preserve">; </w:t>
      </w:r>
      <w:r>
        <w:rPr>
          <w:lang w:val="fr_FR" w:bidi="fr_FR"/>
        </w:rPr>
        <w:t xml:space="preserve">33.15 </w:t>
      </w:r>
      <w:r>
        <w:rPr>
          <w:lang w:val="fr_FR" w:bidi="fr_FR"/>
        </w:rPr>
        <w:t xml:space="preserve">; </w:t>
      </w:r>
      <w:r>
        <w:rPr>
          <w:lang w:val="fr_FR" w:bidi="fr_FR"/>
        </w:rPr>
        <w:t>Ez 37.24</w:t>
      </w:r>
      <w:r>
        <w:rPr>
          <w:lang w:val="fr_FR" w:bidi="fr_FR"/>
        </w:rPr>
        <w:t>). Zorobabel est un descendant du roi David ; son mandat de servir de « sceau » de l'Éternel marque le début de la restauration d'Israël par Dieu (</w:t>
      </w:r>
      <w:r>
        <w:rPr>
          <w:lang w:val="fr_FR" w:bidi="fr_FR"/>
        </w:rPr>
        <w:t>2.23</w:t>
      </w:r>
      <w:r>
        <w:rPr>
          <w:lang w:val="fr_FR" w:bidi="fr_FR"/>
        </w:rPr>
        <w:t xml:space="preserve"> ; cf. </w:t>
      </w:r>
      <w:r>
        <w:rPr>
          <w:lang w:val="fr_FR" w:bidi="fr_FR"/>
        </w:rPr>
        <w:t>Jr 22.24</w:t>
      </w:r>
      <w:r>
        <w:rPr>
          <w:lang w:val="fr_FR" w:bidi="fr_FR"/>
        </w:rPr>
        <w:t>) et renvoie à Jésus-Christ, également descendant de David (</w:t>
      </w:r>
      <w:r>
        <w:rPr>
          <w:lang w:val="fr_FR" w:bidi="fr_FR"/>
        </w:rPr>
        <w:t>Mt 1.1</w:t>
      </w:r>
      <w:r>
        <w:rPr>
          <w:lang w:val="fr_FR" w:bidi="fr_FR"/>
        </w:rPr>
        <w:t>), qui régnera dans la justice pour toujours.</w:t>
      </w:r>
    </w:p>
    <w:p>
      <w:pPr>
        <w:pStyle w:val="Heading2"/>
      </w:pPr>
      <w:r>
        <w:rPr>
          <w:lang w:val="fr_FR" w:bidi="fr_FR"/>
        </w:rPr>
        <w:t>Auteur</w:t>
      </w:r>
    </w:p>
    <w:p>
      <w:pPr/>
      <w:r>
        <w:rPr>
          <w:lang w:val="fr_FR" w:bidi="fr_FR"/>
        </w:rPr>
      </w:r>
      <w:r>
        <w:rPr>
          <w:lang w:val="fr_FR" w:bidi="fr_FR"/>
        </w:rPr>
        <w:t>Le livre d'Aggée ne précise pas son auteur, mais il est probable qu'Aggée ait rédigé ses propres messages (</w:t>
      </w:r>
      <w:r>
        <w:rPr>
          <w:lang w:val="fr_FR" w:bidi="fr_FR"/>
        </w:rPr>
        <w:t>1.1</w:t>
      </w:r>
      <w:r>
        <w:rPr>
          <w:lang w:val="fr_FR" w:bidi="fr_FR"/>
        </w:rPr>
        <w:t xml:space="preserve">, </w:t>
      </w:r>
      <w:r>
        <w:rPr>
          <w:lang w:val="fr_FR" w:bidi="fr_FR"/>
        </w:rPr>
        <w:t>3</w:t>
      </w:r>
      <w:r>
        <w:rPr>
          <w:lang w:val="fr_FR" w:bidi="fr_FR"/>
        </w:rPr>
        <w:t xml:space="preserve">). La Bible ne fournit aucune information biographique sur le prophète Aggée, mais on rend témoignage de son ministère en </w:t>
      </w:r>
      <w:r>
        <w:rPr>
          <w:lang w:val="fr_FR" w:bidi="fr_FR"/>
        </w:rPr>
        <w:t>Esd 6.14</w:t>
      </w:r>
      <w:r>
        <w:rPr>
          <w:lang w:val="fr_FR" w:bidi="fr_FR"/>
        </w:rPr>
        <w:t>. Aggée a probablement écrit son livre entre le moment où il proclamait les paroles reçues (520 av. J.‑C.) et l'achèvement de la maison (515 av. J.‑C.), un événement que la prophétie ne mentionne pas.</w:t>
      </w:r>
    </w:p>
    <w:p>
      <w:pPr>
        <w:pStyle w:val="Heading2"/>
      </w:pPr>
      <w:r>
        <w:rPr>
          <w:lang w:val="fr_FR" w:bidi="fr_FR"/>
        </w:rPr>
        <w:t>Date</w:t>
      </w:r>
    </w:p>
    <w:p>
      <w:pPr/>
      <w:r>
        <w:rPr>
          <w:lang w:val="fr_FR" w:bidi="fr_FR"/>
        </w:rPr>
      </w:r>
      <w:r>
        <w:rPr>
          <w:lang w:val="fr_FR" w:bidi="fr_FR"/>
        </w:rPr>
        <w:t>Aggée a prononcé ses messages entre août et décembre, en 520 av. J.‑C., la seconde année du roi Darius I</w:t>
      </w:r>
      <w:r>
        <w:rPr>
          <w:vertAlign w:val="superscript"/>
          <w:lang w:val="fr_FR" w:bidi="fr_FR"/>
        </w:rPr>
        <w:t>er</w:t>
      </w:r>
      <w:r>
        <w:rPr>
          <w:lang w:val="fr_FR" w:bidi="fr_FR"/>
        </w:rPr>
        <w:t xml:space="preserve">, roi de Perse (voir </w:t>
      </w:r>
      <w:r>
        <w:rPr>
          <w:lang w:val="fr_FR" w:bidi="fr_FR"/>
        </w:rPr>
        <w:t>1.1</w:t>
      </w:r>
      <w:r>
        <w:rPr>
          <w:lang w:val="fr_FR" w:bidi="fr_FR"/>
        </w:rPr>
        <w:t xml:space="preserve">, </w:t>
      </w:r>
      <w:r>
        <w:rPr>
          <w:lang w:val="fr_FR" w:bidi="fr_FR"/>
        </w:rPr>
        <w:t>15</w:t>
      </w:r>
      <w:r>
        <w:rPr>
          <w:lang w:val="fr_FR" w:bidi="fr_FR"/>
        </w:rPr>
        <w:t xml:space="preserve"> ; </w:t>
      </w:r>
      <w:r>
        <w:rPr>
          <w:lang w:val="fr_FR" w:bidi="fr_FR"/>
        </w:rPr>
        <w:t>2.1</w:t>
      </w:r>
      <w:r>
        <w:rPr>
          <w:lang w:val="fr_FR" w:bidi="fr_FR"/>
        </w:rPr>
        <w:t xml:space="preserve">, </w:t>
      </w:r>
      <w:r>
        <w:rPr>
          <w:lang w:val="fr_FR" w:bidi="fr_FR"/>
        </w:rPr>
        <w:t>10</w:t>
      </w:r>
      <w:r>
        <w:rPr>
          <w:lang w:val="fr_FR" w:bidi="fr_FR"/>
        </w:rPr>
        <w:t xml:space="preserve">). Le ministère d'Aggée dans la Judée post-exil coïncide avec celui de Zacharie, qui a commencé à prêcher à Jérusalem au mois de novembre, cette même année (voir </w:t>
      </w:r>
      <w:r>
        <w:rPr>
          <w:lang w:val="fr_FR" w:bidi="fr_FR"/>
        </w:rPr>
        <w:t>Za 1.1</w:t>
      </w:r>
      <w:r>
        <w:rPr>
          <w:lang w:val="fr_FR" w:bidi="fr_FR"/>
        </w:rPr>
        <w:t>).</w:t>
      </w:r>
    </w:p>
    <w:p>
      <w:pPr>
        <w:pStyle w:val="Heading2"/>
      </w:pPr>
      <w:r>
        <w:rPr>
          <w:lang w:val="fr_FR" w:bidi="fr_FR"/>
        </w:rPr>
        <w:t>Style littéraire</w:t>
      </w:r>
    </w:p>
    <w:p>
      <w:pPr/>
      <w:r>
        <w:rPr>
          <w:lang w:val="fr_FR" w:bidi="fr_FR"/>
        </w:rPr>
      </w:r>
      <w:r>
        <w:rPr>
          <w:lang w:val="fr_FR" w:bidi="fr_FR"/>
        </w:rPr>
        <w:t xml:space="preserve">Quoiqu'il ne soit pas un </w:t>
      </w:r>
      <w:r>
        <w:rPr>
          <w:i/>
          <w:lang w:val="fr_FR" w:bidi="fr_FR"/>
        </w:rPr>
        <w:t>magnum opus</w:t>
      </w:r>
      <w:r>
        <w:rPr>
          <w:lang w:val="fr_FR" w:bidi="fr_FR"/>
        </w:rPr>
        <w:t xml:space="preserve"> comme les livres d'Ésaïe ou de Jérémie, le livre d'Aggée appartient à un style littéraire bien distinct. Aggée utilise notamment des questions rhétoriques pour souligner son propos dans trois des quatre messages (voir </w:t>
      </w:r>
      <w:r>
        <w:rPr>
          <w:lang w:val="fr_FR" w:bidi="fr_FR"/>
        </w:rPr>
        <w:t xml:space="preserve">1.4 </w:t>
      </w:r>
      <w:r>
        <w:rPr>
          <w:lang w:val="fr_FR" w:bidi="fr_FR"/>
        </w:rPr>
        <w:t xml:space="preserve">; </w:t>
      </w:r>
      <w:r>
        <w:rPr>
          <w:lang w:val="fr_FR" w:bidi="fr_FR"/>
        </w:rPr>
        <w:t>2.3</w:t>
      </w:r>
      <w:r>
        <w:rPr>
          <w:lang w:val="fr_FR" w:bidi="fr_FR"/>
        </w:rPr>
        <w:t xml:space="preserve">, </w:t>
      </w:r>
      <w:r>
        <w:rPr>
          <w:lang w:val="fr_FR" w:bidi="fr_FR"/>
        </w:rPr>
        <w:t>19</w:t>
      </w:r>
      <w:r>
        <w:rPr>
          <w:lang w:val="fr_FR" w:bidi="fr_FR"/>
        </w:rPr>
        <w:t xml:space="preserve">). Il emploie aussi la répétition de mots ou de phrases pour donner la couleur de ses sermons (par exemple, la répétition de « considérez attentivement vos voies », </w:t>
      </w:r>
      <w:r>
        <w:rPr>
          <w:lang w:val="fr_FR" w:bidi="fr_FR"/>
        </w:rPr>
        <w:t>1.5</w:t>
      </w:r>
      <w:r>
        <w:rPr>
          <w:lang w:val="fr_FR" w:bidi="fr_FR"/>
        </w:rPr>
        <w:t xml:space="preserve">, </w:t>
      </w:r>
      <w:r>
        <w:rPr>
          <w:lang w:val="fr_FR" w:bidi="fr_FR"/>
        </w:rPr>
        <w:t xml:space="preserve">7 </w:t>
      </w:r>
      <w:r>
        <w:rPr>
          <w:lang w:val="fr_FR" w:bidi="fr_FR"/>
        </w:rPr>
        <w:t xml:space="preserve">; </w:t>
      </w:r>
      <w:r>
        <w:rPr>
          <w:lang w:val="fr_FR" w:bidi="fr_FR"/>
        </w:rPr>
        <w:t>2.15</w:t>
      </w:r>
      <w:r>
        <w:rPr>
          <w:lang w:val="fr_FR" w:bidi="fr_FR"/>
        </w:rPr>
        <w:t xml:space="preserve">), et il joue parfois sur les mots (par exemple, avec l'hébreu </w:t>
      </w:r>
      <w:r>
        <w:rPr>
          <w:i/>
          <w:lang w:val="fr_FR" w:bidi="fr_FR"/>
        </w:rPr>
        <w:t>khareb</w:t>
      </w:r>
      <w:r>
        <w:rPr>
          <w:lang w:val="fr_FR" w:bidi="fr_FR"/>
        </w:rPr>
        <w:t>, « ruines » [</w:t>
      </w:r>
      <w:r>
        <w:rPr>
          <w:lang w:val="fr_FR" w:bidi="fr_FR"/>
        </w:rPr>
        <w:t>1.4</w:t>
      </w:r>
      <w:r>
        <w:rPr>
          <w:lang w:val="fr_FR" w:bidi="fr_FR"/>
        </w:rPr>
        <w:t xml:space="preserve">] et </w:t>
      </w:r>
      <w:r>
        <w:rPr>
          <w:i/>
          <w:lang w:val="fr_FR" w:bidi="fr_FR"/>
        </w:rPr>
        <w:t>khoreb</w:t>
      </w:r>
      <w:r>
        <w:rPr>
          <w:lang w:val="fr_FR" w:bidi="fr_FR"/>
        </w:rPr>
        <w:t>, « sécheresse » [</w:t>
      </w:r>
      <w:r>
        <w:rPr>
          <w:lang w:val="fr_FR" w:bidi="fr_FR"/>
        </w:rPr>
        <w:t>1.11</w:t>
      </w:r>
      <w:r>
        <w:rPr>
          <w:lang w:val="fr_FR" w:bidi="fr_FR"/>
        </w:rPr>
        <w:t>]).</w:t>
      </w:r>
    </w:p>
    <w:p>
      <w:pPr/>
      <w:r>
        <w:rPr>
          <w:lang w:val="fr_FR" w:bidi="fr_FR"/>
        </w:rPr>
      </w:r>
      <w:r>
        <w:rPr>
          <w:lang w:val="fr_FR" w:bidi="fr_FR"/>
        </w:rPr>
        <w:t xml:space="preserve">Les messages écrits d'Aggée sont vraisemblablement des résumés de sermons plus longs. Ces messages sont des </w:t>
      </w:r>
      <w:r>
        <w:rPr>
          <w:i/>
          <w:lang w:val="fr_FR" w:bidi="fr_FR"/>
        </w:rPr>
        <w:t>oracles</w:t>
      </w:r>
      <w:r>
        <w:rPr>
          <w:lang w:val="fr_FR" w:bidi="fr_FR"/>
        </w:rPr>
        <w:t xml:space="preserve"> : des messages pleins d'autorité, car inspirés de Dieu. Les oracles comprennent souvent des formulations employant des mots et des phrases types. Plusieurs de ces formulations apparaissent chez Aggée : celle de la « date » (par exemple, « la deuxième année du règne du roi Darius », </w:t>
      </w:r>
      <w:r>
        <w:rPr>
          <w:lang w:val="fr_FR" w:bidi="fr_FR"/>
        </w:rPr>
        <w:t>1.1</w:t>
      </w:r>
      <w:r>
        <w:rPr>
          <w:lang w:val="fr_FR" w:bidi="fr_FR"/>
        </w:rPr>
        <w:t xml:space="preserve"> ; </w:t>
      </w:r>
      <w:r>
        <w:rPr>
          <w:lang w:val="fr_FR" w:bidi="fr_FR"/>
        </w:rPr>
        <w:t>2.1</w:t>
      </w:r>
      <w:r>
        <w:rPr>
          <w:lang w:val="fr_FR" w:bidi="fr_FR"/>
        </w:rPr>
        <w:t xml:space="preserve">, </w:t>
      </w:r>
      <w:r>
        <w:rPr>
          <w:lang w:val="fr_FR" w:bidi="fr_FR"/>
        </w:rPr>
        <w:t>10</w:t>
      </w:r>
      <w:r>
        <w:rPr>
          <w:lang w:val="fr_FR" w:bidi="fr_FR"/>
        </w:rPr>
        <w:t xml:space="preserve">, </w:t>
      </w:r>
      <w:r>
        <w:rPr>
          <w:lang w:val="fr_FR" w:bidi="fr_FR"/>
        </w:rPr>
        <w:t>20</w:t>
      </w:r>
      <w:r>
        <w:rPr>
          <w:lang w:val="fr_FR" w:bidi="fr_FR"/>
        </w:rPr>
        <w:t xml:space="preserve">), celle du « message » (« le Seigneur a donné/envoyé un message », </w:t>
      </w:r>
      <w:r>
        <w:rPr>
          <w:lang w:val="fr_FR" w:bidi="fr_FR"/>
        </w:rPr>
        <w:t>1.1</w:t>
      </w:r>
      <w:r>
        <w:rPr>
          <w:lang w:val="fr_FR" w:bidi="fr_FR"/>
        </w:rPr>
        <w:t xml:space="preserve"> ; </w:t>
      </w:r>
      <w:r>
        <w:rPr>
          <w:lang w:val="fr_FR" w:bidi="fr_FR"/>
        </w:rPr>
        <w:t>2.1</w:t>
      </w:r>
      <w:r>
        <w:rPr>
          <w:lang w:val="fr_FR" w:bidi="fr_FR"/>
        </w:rPr>
        <w:t xml:space="preserve">, </w:t>
      </w:r>
      <w:r>
        <w:rPr>
          <w:lang w:val="fr_FR" w:bidi="fr_FR"/>
        </w:rPr>
        <w:t>10</w:t>
      </w:r>
      <w:r>
        <w:rPr>
          <w:lang w:val="fr_FR" w:bidi="fr_FR"/>
        </w:rPr>
        <w:t xml:space="preserve">, </w:t>
      </w:r>
      <w:r>
        <w:rPr>
          <w:lang w:val="fr_FR" w:bidi="fr_FR"/>
        </w:rPr>
        <w:t>20</w:t>
      </w:r>
      <w:r>
        <w:rPr>
          <w:lang w:val="fr_FR" w:bidi="fr_FR"/>
        </w:rPr>
        <w:t xml:space="preserve">), celle du « Dieu qui parle » (« ainsi parle l'Éternel », </w:t>
      </w:r>
      <w:r>
        <w:rPr>
          <w:lang w:val="fr_FR" w:bidi="fr_FR"/>
        </w:rPr>
        <w:t>1.7</w:t>
      </w:r>
      <w:r>
        <w:rPr>
          <w:lang w:val="fr_FR" w:bidi="fr_FR"/>
        </w:rPr>
        <w:t xml:space="preserve">, </w:t>
      </w:r>
      <w:r>
        <w:rPr>
          <w:lang w:val="fr_FR" w:bidi="fr_FR"/>
        </w:rPr>
        <w:t>13</w:t>
      </w:r>
      <w:r>
        <w:rPr>
          <w:lang w:val="fr_FR" w:bidi="fr_FR"/>
        </w:rPr>
        <w:t xml:space="preserve"> ; </w:t>
      </w:r>
      <w:r>
        <w:rPr>
          <w:lang w:val="fr_FR" w:bidi="fr_FR"/>
        </w:rPr>
        <w:t>2.4</w:t>
      </w:r>
      <w:r>
        <w:rPr>
          <w:lang w:val="fr_FR" w:bidi="fr_FR"/>
        </w:rPr>
        <w:t xml:space="preserve">), et celle de la « relation d'alliance » (« Je suis avec vous », </w:t>
      </w:r>
      <w:r>
        <w:rPr>
          <w:lang w:val="fr_FR" w:bidi="fr_FR"/>
        </w:rPr>
        <w:t>2.4–5</w:t>
      </w:r>
      <w:r>
        <w:rPr>
          <w:lang w:val="fr_FR" w:bidi="fr_FR"/>
        </w:rPr>
        <w:t>).</w:t>
      </w:r>
    </w:p>
    <w:p>
      <w:pPr>
        <w:pStyle w:val="Heading2"/>
      </w:pPr>
      <w:r>
        <w:rPr>
          <w:lang w:val="fr_FR" w:bidi="fr_FR"/>
        </w:rPr>
        <w:t>Signification et message</w:t>
      </w:r>
    </w:p>
    <w:p>
      <w:pPr/>
      <w:r>
        <w:rPr>
          <w:lang w:val="fr_FR" w:bidi="fr_FR"/>
        </w:rPr>
      </w:r>
      <w:r>
        <w:rPr>
          <w:lang w:val="fr_FR" w:bidi="fr_FR"/>
        </w:rPr>
        <w:t>Les quatre brefs messages d'Aggée sonnent comme un appel au réveil pour une communauté spirituellement endormie. Sa visée est de l'encourager à « se lever et se mettre au travail » pour reconstruire la maison de l'Éternel à Jérusalem.</w:t>
      </w:r>
    </w:p>
    <w:p>
      <w:pPr/>
      <w:r>
        <w:rPr>
          <w:lang w:val="fr_FR" w:bidi="fr_FR"/>
        </w:rPr>
      </w:r>
      <w:r>
        <w:rPr>
          <w:lang w:val="fr_FR" w:bidi="fr_FR"/>
        </w:rPr>
        <w:t>Aggée établit un lien entre le manque de succès des affaires agricoles et économiques de la communauté et sa négligence à l'égard de la maison de l'Éternel. Il réprimande le peuple pour son manque d'intérêt à adorer Dieu et les appelle à la repentance et à un renouveau spirituel. Alors que la réaction du peuple est positive et qu'ils commencent le travail de la reconstruction, Aggée les encourage par la promesse de la présence continue et de l'assistance de Dieu.</w:t>
      </w:r>
    </w:p>
    <w:p>
      <w:pPr/>
      <w:r>
        <w:rPr>
          <w:lang w:val="fr_FR" w:bidi="fr_FR"/>
        </w:rPr>
      </w:r>
      <w:r>
        <w:rPr>
          <w:lang w:val="fr_FR" w:bidi="fr_FR"/>
        </w:rPr>
        <w:t xml:space="preserve">Aggée a appelé le peuple de Jérusalem à un culte authentique, à la confiance dans la parole de Dieu, à la sainteté personnelle et à l'obéissance aux dirigeants désignés par Dieu. Aggée met l'accent sur la présence permanente de l'Esprit de Dieu </w:t>
      </w:r>
      <w:r>
        <w:rPr>
          <w:lang w:val="fr_FR" w:bidi="fr_FR"/>
        </w:rPr>
        <w:t>(</w:t>
      </w:r>
      <w:r>
        <w:rPr>
          <w:lang w:val="fr_FR" w:bidi="fr_FR"/>
        </w:rPr>
        <w:t>1.13–14</w:t>
      </w:r>
      <w:r>
        <w:rPr>
          <w:lang w:val="fr_FR" w:bidi="fr_FR"/>
        </w:rPr>
        <w:t xml:space="preserve"> ; </w:t>
      </w:r>
      <w:r>
        <w:rPr>
          <w:lang w:val="fr_FR" w:bidi="fr_FR"/>
        </w:rPr>
        <w:t>2.4–5</w:t>
      </w:r>
      <w:r>
        <w:rPr>
          <w:lang w:val="fr_FR" w:bidi="fr_FR"/>
        </w:rPr>
        <w:t>), un thème partagé avec son contemporain Zacharie (</w:t>
      </w:r>
      <w:r>
        <w:rPr>
          <w:lang w:val="fr_FR" w:bidi="fr_FR"/>
        </w:rPr>
        <w:t>Za 1.16</w:t>
      </w:r>
      <w:r>
        <w:rPr>
          <w:lang w:val="fr_FR" w:bidi="fr_FR"/>
        </w:rPr>
        <w:t xml:space="preserve"> ; </w:t>
      </w:r>
      <w:r>
        <w:rPr>
          <w:lang w:val="fr_FR" w:bidi="fr_FR"/>
        </w:rPr>
        <w:t>8.23</w:t>
      </w:r>
      <w:r>
        <w:rPr>
          <w:lang w:val="fr_FR" w:bidi="fr_FR"/>
        </w:rPr>
        <w:t xml:space="preserve"> ; voir aussi </w:t>
      </w:r>
      <w:r>
        <w:rPr>
          <w:lang w:val="fr_FR" w:bidi="fr_FR"/>
        </w:rPr>
        <w:t>Ez 37.27–28</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