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Aquifer Open Study Notes (Book Intros)</w:t>
      </w:r>
      <w:r>
        <w:rPr>
          <w:lang w:val="id_ID" w:bidi="id_ID"/>
        </w:rPr>
      </w:r>
    </w:p>
    <w:p>
      <w:pPr/>
      <w:r>
        <w:rPr>
          <w:lang w:val="id_ID" w:bidi="id_ID"/>
        </w:rPr>
      </w:r>
      <w:r>
        <w:rPr>
          <w:b/>
          <w:lang w:val="id_ID" w:bidi="id_ID"/>
        </w:rPr>
        <w:t>Aquifer Open Study Notes (Book Intros)</w:t>
      </w:r>
    </w:p>
    <w:p>
      <w:pPr/>
      <w:r>
        <w:rPr>
          <w:lang w:val="id_ID" w:bidi="id_ID"/>
        </w:rPr>
      </w:r>
      <w:r>
        <w:rPr>
          <w:lang w:val="id_ID" w:bidi="id_ID"/>
        </w:rPr>
        <w:t xml:space="preserve">This work is an adaptation of </w:t>
      </w:r>
      <w:r>
        <w:rPr>
          <w:lang w:val="id_ID" w:bidi="id_ID"/>
        </w:rPr>
        <w:t>Tyndale Open Study Notes</w:t>
      </w:r>
      <w:r>
        <w:rPr>
          <w:lang w:val="id_ID" w:bidi="id_ID"/>
        </w:rPr>
        <w:t xml:space="preserve"> © 2023 Tyndale House Publishers, licensed under the CC BY-SA 4.0 license. The adaptation, </w:t>
      </w:r>
      <w:r>
        <w:rPr>
          <w:lang w:val="id_ID" w:bidi="id_ID"/>
        </w:rPr>
        <w:t>Aquifer Open Study Notes</w:t>
      </w:r>
      <w:r>
        <w:rPr>
          <w:lang w:val="id_ID" w:bidi="id_ID"/>
        </w:rPr>
        <w:t>, was created by Mission Mutual and is also licensed under CC BY-SA 4.0.</w:t>
      </w:r>
    </w:p>
    <w:p>
      <w:pPr/>
      <w:r>
        <w:rPr>
          <w:lang w:val="id_ID" w:bidi="id_ID"/>
        </w:rPr>
      </w:r>
      <w:r>
        <w:rPr>
          <w:lang w:val="id_ID" w:bidi="id_ID"/>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id_ID" w:bidi="id_ID"/>
        </w:rPr>
      </w:r>
      <w:r>
        <w:rPr>
          <w:lang w:val="id_ID" w:bidi="id_ID"/>
        </w:rPr>
      </w:r>
    </w:p>
    <w:p>
      <w:pPr>
        <w:pStyle w:val="Heading1"/>
      </w:pPr>
      <w:r>
        <w:rPr>
          <w:lang w:val="id_ID" w:bidi="id_ID"/>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1KI</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1 Raja-raja</w:t>
      </w:r>
      <w:r>
        <w:rPr>
          <w:lang w:val="id_ID" w:bidi="id_ID"/>
        </w:rPr>
      </w:r>
    </w:p>
    <w:p>
      <w:pPr/>
      <w:r>
        <w:rPr>
          <w:lang w:val="id_ID" w:bidi="id_ID"/>
        </w:rPr>
      </w:r>
      <w:r>
        <w:rPr>
          <w:lang w:val="id_ID" w:bidi="id_ID"/>
        </w:rPr>
        <w:t>Kerajaan Salomo merupakan puncak kemuliaan Israel. “Raja Salomo melebihi semua raja di bumi dalam hal kekayaan dan hikmat.” (</w:t>
      </w:r>
      <w:r>
        <w:rPr>
          <w:lang w:val="id_ID" w:bidi="id_ID"/>
        </w:rPr>
        <w:t>1Raj. 10:23</w:t>
      </w:r>
      <w:r>
        <w:rPr>
          <w:lang w:val="id_ID" w:bidi="id_ID"/>
        </w:rPr>
        <w:t>). Ratu Negeri Syeba mengonfirmasi kemuliaan kerajaan Salomo dengan mengatakan, “Benar juga kabar yang kudengar di negeriku tentang engkau dan tentang hikmatmu, tetapi aku tidak percaya perkataan-perkataan itu sampai aku datang dan melihatnya dengan mataku sendiri; sungguh setengahnya pun belum diberitahukan kepadaku; dalam hal hikmat dan kemakmuran, engkau melebihi kabar yang kudengar.” (</w:t>
      </w:r>
      <w:r>
        <w:rPr>
          <w:lang w:val="id_ID" w:bidi="id_ID"/>
        </w:rPr>
        <w:t>1Raj. 10:6–7</w:t>
      </w:r>
      <w:r>
        <w:rPr>
          <w:lang w:val="id_ID" w:bidi="id_ID"/>
        </w:rPr>
        <w:t>). Kitab Pertama Raja-Raja merayakan kemegahan kerajaan Salomo. Namun, pemerintahan Salomo juga menggambarkan bahaya ketidaksetiaan rohani, dan Kitab 1 Raja-Raja memperingatkan tentang akibat dari keterpakuan pada kemewahan, ketenaran, diri sendiri, dan keamanan. Ini adalah peringatan abadi bagi kita semua.</w:t>
      </w:r>
    </w:p>
    <w:p>
      <w:pPr>
        <w:pStyle w:val="Heading2"/>
      </w:pPr>
      <w:r>
        <w:rPr>
          <w:lang w:val="id_ID" w:bidi="id_ID"/>
        </w:rPr>
        <w:t>Latar Belakang</w:t>
      </w:r>
    </w:p>
    <w:p>
      <w:pPr/>
      <w:r>
        <w:rPr>
          <w:lang w:val="id_ID" w:bidi="id_ID"/>
        </w:rPr>
      </w:r>
      <w:r>
        <w:rPr>
          <w:lang w:val="id_ID" w:bidi="id_ID"/>
        </w:rPr>
        <w:t>Pada puncak kekuasaannya, Salomo mengelola kerajaan yang membentang "dari sungai Efrat sampai negeri orang Filistin dan sampai ke tapal batas Mesir" (</w:t>
      </w:r>
      <w:r>
        <w:rPr>
          <w:lang w:val="id_ID" w:bidi="id_ID"/>
        </w:rPr>
        <w:t>1Raj. 4:21</w:t>
      </w:r>
      <w:r>
        <w:rPr>
          <w:lang w:val="id_ID" w:bidi="id_ID"/>
        </w:rPr>
        <w:t>). Kekuasaan dan kekayaan Salomo membuatnya berhubungan dengan banyak bangsa di sekitarnya—terutama negara kota maritim penting Tirus dan kekaisaran kuno Mesir.</w:t>
      </w:r>
    </w:p>
    <w:p>
      <w:pPr/>
      <w:r>
        <w:rPr>
          <w:lang w:val="id_ID" w:bidi="id_ID"/>
        </w:rPr>
      </w:r>
      <w:r>
        <w:rPr>
          <w:lang w:val="id_ID" w:bidi="id_ID"/>
        </w:rPr>
        <w:t>Pertengahan tahun 900-an Sebelum Masehi adalah waktu yang ideal bagi Kerajaan Salomo untuk berkembang, karena kekuatan politik tradisional di daerah tersebut sedang mengalami penurunan. Kerajaan Het yang kuat di utara telah terpecah menjadi sejumlah negara kecil. Di Mesopotamia, bertahun-tahun konflik dengan orang Aram dan Het telah melemahkan Asyur, yang tetap lemah hingga naiknya Asyur-Dan II (934–912 Sebelum Masehi). Di selatan, kehadiran Mesir di Kanaan telah melemah selama Dinasti ke-21 (1069–945 Sebelum Masehi). Mesir tidak akan mengalami kebangkitan militer yang efektif hingga pemerintahan Dinasti ke-22 Firaun Shoshenq I (Sisak, 945–924 Sebelum Masehi).</w:t>
      </w:r>
    </w:p>
    <w:p>
      <w:pPr/>
      <w:r>
        <w:rPr>
          <w:lang w:val="id_ID" w:bidi="id_ID"/>
        </w:rPr>
      </w:r>
      <w:r>
        <w:rPr>
          <w:lang w:val="id_ID" w:bidi="id_ID"/>
        </w:rPr>
        <w:t>Sayangnya, diplomasi luar negeri Salomo melibatkan pernikahan dengan putri-putri raja asing. Ini adalah cara umum untuk memperkuat aliansi di Timur Dekat kuno, tetapi secara rohani sangat merugikan, karena “Sebab pada waktu Salomo sudah tua, isteri-isterinya itu mencondongkan hatinya kepada allah-allah lain, sehingga ia tidak dengan sepenuh hati berpaut kepada Tuhan, Allahnya” (</w:t>
      </w:r>
      <w:r>
        <w:rPr>
          <w:lang w:val="id_ID" w:bidi="id_ID"/>
        </w:rPr>
        <w:t>1Raj. 11:4</w:t>
      </w:r>
      <w:r>
        <w:rPr>
          <w:lang w:val="id_ID" w:bidi="id_ID"/>
        </w:rPr>
        <w:t>).</w:t>
      </w:r>
    </w:p>
    <w:p>
      <w:pPr/>
      <w:r>
        <w:rPr>
          <w:lang w:val="id_ID" w:bidi="id_ID"/>
        </w:rPr>
      </w:r>
      <w:r>
        <w:rPr>
          <w:lang w:val="id_ID" w:bidi="id_ID"/>
        </w:rPr>
        <w:t xml:space="preserve">Ketegangan yang telah membara antara suku-suku Ibrani utara dan selatan muncul setelah kematian Salomo pada 931 Sebelum Masehi. Perpecahan yang terjadi mengubah struktur kerajaan menjadi Israel (sepuluh suku di utara) dan Yehuda (dua suku yang tersisa di selatan). Israel dan Yehuda sering bertikai selama era dua dinasti utara pertama dan masa pemerintahan tiga raja pertama Yehuda (931~874 Sebelum Masehi). Permusuhan mereda ketika Raja Ahab dari Israel dan Raja Yosafat dari Yehuda menemukan tujuan bersama untuk melawan orang Aram (pasal </w:t>
      </w:r>
      <w:r>
        <w:rPr>
          <w:lang w:val="id_ID" w:bidi="id_ID"/>
        </w:rPr>
        <w:t>20</w:t>
      </w:r>
      <w:r>
        <w:rPr>
          <w:lang w:val="id_ID" w:bidi="id_ID"/>
        </w:rPr>
        <w:t xml:space="preserve">, </w:t>
      </w:r>
      <w:r>
        <w:rPr>
          <w:lang w:val="id_ID" w:bidi="id_ID"/>
        </w:rPr>
        <w:t>22</w:t>
      </w:r>
      <w:r>
        <w:rPr>
          <w:lang w:val="id_ID" w:bidi="id_ID"/>
        </w:rPr>
        <w:t>).</w:t>
      </w:r>
    </w:p>
    <w:p>
      <w:pPr/>
      <w:r>
        <w:rPr>
          <w:lang w:val="id_ID" w:bidi="id_ID"/>
        </w:rPr>
      </w:r>
      <w:r>
        <w:rPr>
          <w:lang w:val="id_ID" w:bidi="id_ID"/>
        </w:rPr>
        <w:t>Kerajaan Ibrani Israel dan Yehuda semakin terjebak oleh ambisi ekspansionis tetangga mereka. Mereka diserang oleh Shoshenq I dari Mesir pada 926 Sebelum Masehi, dan sepanjang tahun 800-an Sebelum Masehi mereka menghadapi ancaman terus-menerus dari orang Aram dan kekuatan yang semakin meningkat dari Asyur. Selama pemerintahan raja-raja Asyur Ashurnasirpal II (883–859 Sebelum Masehi) dan Salmaneser III (858–824 Sebelum Masehi), pasukan Asyur bergerak secara bertahap ke arah barat menuju Laut Mediterania. Pada Pertempuran Qarqar yang terkenal (853 Sebelum Masehi), koalisi sekutu barat, termasuk Raja Ahab dari Israel, berhasil menahan raja Asyur, Salmaneser, dan untuk sementara waktu menghentikan kemajuan Asyur.</w:t>
      </w:r>
    </w:p>
    <w:p>
      <w:pPr/>
      <w:r>
        <w:rPr>
          <w:lang w:val="id_ID" w:bidi="id_ID"/>
        </w:rPr>
      </w:r>
      <w:r>
        <w:rPr>
          <w:lang w:val="id_ID" w:bidi="id_ID"/>
        </w:rPr>
        <w:t xml:space="preserve">Selama periode ini, kedua kerajaan Ibrani mengalami tantangan rohani. Israel berhenti menyembah Tuhan di Bait Salomo, dan Yerobeam I, raja pertama kerajaan utara Israel (931–910 Sebelum Masehi), memperkenalkan praktik keagamaan sesat yang menyesatkan kerajaan utara (lihat </w:t>
      </w:r>
      <w:r>
        <w:rPr>
          <w:lang w:val="id_ID" w:bidi="id_ID"/>
        </w:rPr>
        <w:t>2Raj. 17:21–23</w:t>
      </w:r>
      <w:r>
        <w:rPr>
          <w:lang w:val="id_ID" w:bidi="id_ID"/>
        </w:rPr>
        <w:t>). Dua raja pertama Yehuda, Rehabeam dan Abia, mengalami kemunduran rohani, sementara dua raja berikutnya, Asa dan Yosafat, menunjukkan kesetiaan rohani yang lebih besar, meskipun tidak sempurna (</w:t>
      </w:r>
      <w:r>
        <w:rPr>
          <w:lang w:val="id_ID" w:bidi="id_ID"/>
        </w:rPr>
        <w:t>1Raj. 15:11</w:t>
      </w:r>
      <w:r>
        <w:rPr>
          <w:lang w:val="id_ID" w:bidi="id_ID"/>
        </w:rPr>
        <w:t xml:space="preserve">; </w:t>
      </w:r>
      <w:r>
        <w:rPr>
          <w:lang w:val="id_ID" w:bidi="id_ID"/>
        </w:rPr>
        <w:t>22:43</w:t>
      </w:r>
      <w:r>
        <w:rPr>
          <w:lang w:val="id_ID" w:bidi="id_ID"/>
        </w:rPr>
        <w:t>).</w:t>
      </w:r>
    </w:p>
    <w:p>
      <w:pPr>
        <w:pStyle w:val="Heading2"/>
      </w:pPr>
      <w:r>
        <w:rPr>
          <w:lang w:val="id_ID" w:bidi="id_ID"/>
        </w:rPr>
        <w:t>Rangkuman</w:t>
      </w:r>
    </w:p>
    <w:p>
      <w:pPr/>
      <w:r>
        <w:rPr>
          <w:lang w:val="id_ID" w:bidi="id_ID"/>
        </w:rPr>
      </w:r>
      <w:r>
        <w:rPr>
          <w:lang w:val="id_ID" w:bidi="id_ID"/>
        </w:rPr>
        <w:t>Dimulai dengan hari-hari terakhir Raja Daud, 1 Raja-raja menggambarkan pendirian kerajaan megah Salomo (971–931 Sebelum Masehi) dan peristiwa-peristiwa yang kemudian membagi kerajaan menjadi dua, yaitu kerajaan Israel di utara dan kerajaan Yehuda di selatan. Kitab ini kemudian menelusuri berbagai nasib kedua kerajaan tersebut hingga sekitar 853 Sebelum Masehi, memasuki masa pemerintahan Ahazia di Israel (853–852 Sebelum Masehi).</w:t>
      </w:r>
    </w:p>
    <w:p>
      <w:pPr/>
      <w:r>
        <w:rPr>
          <w:lang w:val="id_ID" w:bidi="id_ID"/>
        </w:rPr>
      </w:r>
      <w:r>
        <w:rPr>
          <w:lang w:val="id_ID" w:bidi="id_ID"/>
        </w:rPr>
        <w:t>Sebelas pasal pertama berfokus pada Raja Salomo, menggambarkan baik pemerintahannya yang luar biasa maupun kompromi spiritualnya di kemudian hari. Kisah Salomo dimulai dan diakhiri dengan kontroversi. Salomo adalah penerus pilihan Daud, tetapi kakaknya Adonia berusaha merebut takhta (</w:t>
      </w:r>
      <w:r>
        <w:rPr>
          <w:lang w:val="id_ID" w:bidi="id_ID"/>
        </w:rPr>
        <w:t>1Raj. 1:1–2:46</w:t>
      </w:r>
      <w:r>
        <w:rPr>
          <w:lang w:val="id_ID" w:bidi="id_ID"/>
        </w:rPr>
        <w:t>). Salomo mengalahkan klaim saingannya Adonia, kemudian menggunakan kebijaksanaan yang diberikan Allah untuk menata ulang pemerintahan dan membuatnya lebih efisien. Dia memfasilitasi ekspansi komersial kerajaan di darat dan laut serta melaksanakan proyek pembangunan besar-besaran, termasuk Bait Suci yang menakjubkan dan kompleks istana. Namun, menjelang akhir pemerintahannya, kemerosotan rohani Salomo (</w:t>
      </w:r>
      <w:r>
        <w:rPr>
          <w:lang w:val="id_ID" w:bidi="id_ID"/>
        </w:rPr>
        <w:t>1Raj. 11:1–13</w:t>
      </w:r>
      <w:r>
        <w:rPr>
          <w:lang w:val="id_ID" w:bidi="id_ID"/>
        </w:rPr>
        <w:t xml:space="preserve">) dan langkah-langkah administratif yang menindas (misalnya, </w:t>
      </w:r>
      <w:r>
        <w:rPr>
          <w:lang w:val="id_ID" w:bidi="id_ID"/>
        </w:rPr>
        <w:t>1Raj. 5:13–18</w:t>
      </w:r>
      <w:r>
        <w:rPr>
          <w:lang w:val="id_ID" w:bidi="id_ID"/>
        </w:rPr>
        <w:t>) memicu lawan politik baik di dalam maupun di luar negeri (</w:t>
      </w:r>
      <w:r>
        <w:rPr>
          <w:lang w:val="id_ID" w:bidi="id_ID"/>
        </w:rPr>
        <w:t>1Raj. 11:14–40</w:t>
      </w:r>
      <w:r>
        <w:rPr>
          <w:lang w:val="id_ID" w:bidi="id_ID"/>
        </w:rPr>
        <w:t>).</w:t>
      </w:r>
    </w:p>
    <w:p>
      <w:pPr/>
      <w:r>
        <w:rPr>
          <w:lang w:val="id_ID" w:bidi="id_ID"/>
        </w:rPr>
      </w:r>
      <w:r>
        <w:rPr>
          <w:lang w:val="id_ID" w:bidi="id_ID"/>
        </w:rPr>
        <w:t>Allah menampakkan diri tiga kali kepada Salomo, dan hal ini memberi kita pandangan tentang perjalanan spiritual pribadinya. Pertama kali, di awal pemerintahannya, Allah mengabulkan permintaan Salomo untuk kebijaksanaan dalam memerintah kerajaan (</w:t>
      </w:r>
      <w:r>
        <w:rPr>
          <w:lang w:val="id_ID" w:bidi="id_ID"/>
        </w:rPr>
        <w:t>1Raj. 3:5–15</w:t>
      </w:r>
      <w:r>
        <w:rPr>
          <w:lang w:val="id_ID" w:bidi="id_ID"/>
        </w:rPr>
        <w:t>), yang menghasilkan kemakmuran dan kehormatan besar (</w:t>
      </w:r>
      <w:r>
        <w:rPr>
          <w:lang w:val="id_ID" w:bidi="id_ID"/>
        </w:rPr>
        <w:t>1Raj. 3:16–8:66</w:t>
      </w:r>
      <w:r>
        <w:rPr>
          <w:lang w:val="id_ID" w:bidi="id_ID"/>
        </w:rPr>
        <w:t>). Setelah Salomo menyelesaikan pembangunan Bait Suci dan istananya, Allah mengunjunginya untuk kedua kalinya untuk mengingatkannya bahwa kesuksesannya yang berkelanjutan akan bergantung pada kesetiaan rohaninya (</w:t>
      </w:r>
      <w:r>
        <w:rPr>
          <w:lang w:val="id_ID" w:bidi="id_ID"/>
        </w:rPr>
        <w:t>1Raj. 9:1–9</w:t>
      </w:r>
      <w:r>
        <w:rPr>
          <w:lang w:val="id_ID" w:bidi="id_ID"/>
        </w:rPr>
        <w:t>). Namun, ketenaran besar Salomo (</w:t>
      </w:r>
      <w:r>
        <w:rPr>
          <w:lang w:val="id_ID" w:bidi="id_ID"/>
        </w:rPr>
        <w:t>1Raj. 9:10–10:29</w:t>
      </w:r>
      <w:r>
        <w:rPr>
          <w:lang w:val="id_ID" w:bidi="id_ID"/>
        </w:rPr>
        <w:t>) membawanya ke dalam aliansi asing, yang diperkuat oleh pernikahan dengan putri-putri raja asing. Kompromi kerohanian Salomo yang dihasilkan akhirnya membawanya hingga membiayai penyembahan dewa-dewa berhala (</w:t>
      </w:r>
      <w:r>
        <w:rPr>
          <w:lang w:val="id_ID" w:bidi="id_ID"/>
        </w:rPr>
        <w:t>1Raj. 11:1–8</w:t>
      </w:r>
      <w:r>
        <w:rPr>
          <w:lang w:val="id_ID" w:bidi="id_ID"/>
        </w:rPr>
        <w:t>). Allah mengunjungi Salomo untuk yang ketiga dan terakhir kalinya; kali ini Dia menegur Salomo karena kegagalannya menghormati Perjanjian. Ketidaksetiaan Salomo pada akhirnya menyebabkan perpecahan kerajaan setelah kematiannya (</w:t>
      </w:r>
      <w:r>
        <w:rPr>
          <w:lang w:val="id_ID" w:bidi="id_ID"/>
        </w:rPr>
        <w:t>1Raj. 11:9–13</w:t>
      </w:r>
      <w:r>
        <w:rPr>
          <w:lang w:val="id_ID" w:bidi="id_ID"/>
        </w:rPr>
        <w:t>).</w:t>
      </w:r>
    </w:p>
    <w:p>
      <w:pPr/>
      <w:r>
        <w:rPr>
          <w:lang w:val="id_ID" w:bidi="id_ID"/>
        </w:rPr>
      </w:r>
      <w:r>
        <w:rPr>
          <w:lang w:val="id_ID" w:bidi="id_ID"/>
        </w:rPr>
        <w:t>Bagian kedua dari Kitab ini (</w:t>
      </w:r>
      <w:r>
        <w:rPr>
          <w:lang w:val="id_ID" w:bidi="id_ID"/>
        </w:rPr>
        <w:t>1Raj. 12:1–16:26</w:t>
      </w:r>
      <w:r>
        <w:rPr>
          <w:lang w:val="id_ID" w:bidi="id_ID"/>
        </w:rPr>
        <w:t>) menunjukkan bahwa penghakiman Allah datang dengan cepat setelah kematian Salomo. Pada awal pemerintahan Raja Rehabeam, suku-suku utara meminta keringanan dari kerja paksa dan pajak yang berat. Rehabeam menolak permintaan mereka dan memusuhi mereka, sehingga suku-suku utara memberontak dan mendirikan kerajaan Israel di utara, dengan Yerobeam I sebagai raja. Rehabeam tetap berada di takhta Yehuda, yang sekarang menjadi kerajaan terpisah di selatan (</w:t>
      </w:r>
      <w:r>
        <w:rPr>
          <w:lang w:val="id_ID" w:bidi="id_ID"/>
        </w:rPr>
        <w:t>1Raj. 12:1–24</w:t>
      </w:r>
      <w:r>
        <w:rPr>
          <w:lang w:val="id_ID" w:bidi="id_ID"/>
        </w:rPr>
        <w:t>). Selama era berikutnya, dua dinasti pertama Israel (Yerobeam I hingga Tibni) secara rohani merendahkan kerajaan utara, sementara raja-raja Yehuda merendahkan kerajaan selatan. Ketidakstabilan politik menandai kerajaan utara, dengan pembunuhan kerajaan, perebutan kekuasaan, dan pendirian dinasti ketiga Israel yang terkenal, didirikan oleh Raja Omri, yang merupakan salah satu raja paling kuat dan jahat di Israel (</w:t>
      </w:r>
      <w:r>
        <w:rPr>
          <w:lang w:val="id_ID" w:bidi="id_ID"/>
        </w:rPr>
        <w:t>1Raj. 16:25–26</w:t>
      </w:r>
      <w:r>
        <w:rPr>
          <w:lang w:val="id_ID" w:bidi="id_ID"/>
        </w:rPr>
        <w:t>).</w:t>
      </w:r>
    </w:p>
    <w:p>
      <w:pPr/>
      <w:r>
        <w:rPr>
          <w:lang w:val="id_ID" w:bidi="id_ID"/>
        </w:rPr>
      </w:r>
      <w:r>
        <w:rPr>
          <w:lang w:val="id_ID" w:bidi="id_ID"/>
        </w:rPr>
        <w:t>Bagian terakhir dari 1 Raja-raja terutama berfokus pada pemerintahan Ahab, putra Omri (</w:t>
      </w:r>
      <w:r>
        <w:rPr>
          <w:lang w:val="id_ID" w:bidi="id_ID"/>
        </w:rPr>
        <w:t>1Raj. 16:29–22:40</w:t>
      </w:r>
      <w:r>
        <w:rPr>
          <w:lang w:val="id_ID" w:bidi="id_ID"/>
        </w:rPr>
        <w:t>). Israel mulai menyembah Baal, dewa badai Kanaan, sehingga Tuhan menugaskan Elia untuk menghadapi Ahab dan menunjukkan kekuatan Tuhan, menegaskan bahwa hanya Dia yang adalah Allah (</w:t>
      </w:r>
      <w:r>
        <w:rPr>
          <w:lang w:val="id_ID" w:bidi="id_ID"/>
        </w:rPr>
        <w:t>1Raj. 17:1–18:46</w:t>
      </w:r>
      <w:r>
        <w:rPr>
          <w:lang w:val="id_ID" w:bidi="id_ID"/>
        </w:rPr>
        <w:t>). Elia kemudian melarikan diri dari kemarahan Ratu Izebel, tetapi Allah memulihkannya dan menugaskannya kembali, dengan Elisa sebagai penggantinya (</w:t>
      </w:r>
      <w:r>
        <w:rPr>
          <w:lang w:val="id_ID" w:bidi="id_ID"/>
        </w:rPr>
        <w:t>1Raj. 19:1–21</w:t>
      </w:r>
      <w:r>
        <w:rPr>
          <w:lang w:val="id_ID" w:bidi="id_ID"/>
        </w:rPr>
        <w:t>).</w:t>
      </w:r>
    </w:p>
    <w:p>
      <w:pPr/>
      <w:r>
        <w:rPr>
          <w:lang w:val="id_ID" w:bidi="id_ID"/>
        </w:rPr>
      </w:r>
      <w:r>
        <w:rPr>
          <w:lang w:val="id_ID" w:bidi="id_ID"/>
        </w:rPr>
        <w:t>Di bidang politik, Raja Ahab menghadapi tantangan berulang dari Raja Aram, Benhadad, yang melawan Ahab dalam tiga serangan militer (</w:t>
      </w:r>
      <w:r>
        <w:rPr>
          <w:lang w:val="id_ID" w:bidi="id_ID"/>
        </w:rPr>
        <w:t>1Raj. 20:1–25</w:t>
      </w:r>
      <w:r>
        <w:rPr>
          <w:lang w:val="id_ID" w:bidi="id_ID"/>
        </w:rPr>
        <w:t xml:space="preserve">, </w:t>
      </w:r>
      <w:r>
        <w:rPr>
          <w:lang w:val="id_ID" w:bidi="id_ID"/>
        </w:rPr>
        <w:t>26–43</w:t>
      </w:r>
      <w:r>
        <w:rPr>
          <w:lang w:val="id_ID" w:bidi="id_ID"/>
        </w:rPr>
        <w:t xml:space="preserve">; </w:t>
      </w:r>
      <w:r>
        <w:rPr>
          <w:lang w:val="id_ID" w:bidi="id_ID"/>
        </w:rPr>
        <w:t>22:1–40</w:t>
      </w:r>
      <w:r>
        <w:rPr>
          <w:lang w:val="id_ID" w:bidi="id_ID"/>
        </w:rPr>
        <w:t>), yang terakhir menyebabkan kematian Ahab. Antara kampanye kedua dan ketiga, Ahab, dengan bantuan istrinya yang kejam, Izebel, membunuh seorang pria tak bersalah bernama Nabot dan menyita tanah miliknya (</w:t>
      </w:r>
      <w:r>
        <w:rPr>
          <w:lang w:val="id_ID" w:bidi="id_ID"/>
        </w:rPr>
        <w:t>1Raj. 21:1–29</w:t>
      </w:r>
      <w:r>
        <w:rPr>
          <w:lang w:val="id_ID" w:bidi="id_ID"/>
        </w:rPr>
        <w:t>).</w:t>
      </w:r>
    </w:p>
    <w:p>
      <w:pPr/>
      <w:r>
        <w:rPr>
          <w:lang w:val="id_ID" w:bidi="id_ID"/>
        </w:rPr>
      </w:r>
      <w:r>
        <w:rPr>
          <w:lang w:val="id_ID" w:bidi="id_ID"/>
        </w:rPr>
        <w:t>Nabi-nabi Allah memainkan peran penting dalam peristiwa-peristiwa selama pemerintahan Ahab. Dalam dua kampanye pertama Ahab melawan orang Aram, seorang nabi yang tidak disebutkan namanya awalnya memberikan nasihat kepada raja (</w:t>
      </w:r>
      <w:r>
        <w:rPr>
          <w:lang w:val="id_ID" w:bidi="id_ID"/>
        </w:rPr>
        <w:t>1Raj. 20:22</w:t>
      </w:r>
      <w:r>
        <w:rPr>
          <w:lang w:val="id_ID" w:bidi="id_ID"/>
        </w:rPr>
        <w:t>) dan kemudian menegurnya (</w:t>
      </w:r>
      <w:r>
        <w:rPr>
          <w:lang w:val="id_ID" w:bidi="id_ID"/>
        </w:rPr>
        <w:t>1Raj. 20:35–43</w:t>
      </w:r>
      <w:r>
        <w:rPr>
          <w:lang w:val="id_ID" w:bidi="id_ID"/>
        </w:rPr>
        <w:t>). Nabi Elia kemudian mengecam perebutan kebun anggur Nabot oleh Ahab (</w:t>
      </w:r>
      <w:r>
        <w:rPr>
          <w:lang w:val="id_ID" w:bidi="id_ID"/>
        </w:rPr>
        <w:t>1Raj. 21:1–29</w:t>
      </w:r>
      <w:r>
        <w:rPr>
          <w:lang w:val="id_ID" w:bidi="id_ID"/>
        </w:rPr>
        <w:t>). Selanjutnya, sebelum pertempuran ketiga Ahab melawan orang Aram, nabi Mikhaya memperingatkan tentang kematian Ahab yang akan datang (</w:t>
      </w:r>
      <w:r>
        <w:rPr>
          <w:lang w:val="id_ID" w:bidi="id_ID"/>
        </w:rPr>
        <w:t>1Raj. 22:5–28</w:t>
      </w:r>
      <w:r>
        <w:rPr>
          <w:lang w:val="id_ID" w:bidi="id_ID"/>
        </w:rPr>
        <w:t>).</w:t>
      </w:r>
    </w:p>
    <w:p>
      <w:pPr/>
      <w:r>
        <w:rPr>
          <w:lang w:val="id_ID" w:bidi="id_ID"/>
        </w:rPr>
      </w:r>
      <w:r>
        <w:rPr>
          <w:lang w:val="id_ID" w:bidi="id_ID"/>
        </w:rPr>
        <w:t>Kitab 1 Raja-raja diakhiri dengan ringkasan singkat tentang karakter dan pemerintahan Raja Yosafat dari Yehuda (</w:t>
      </w:r>
      <w:r>
        <w:rPr>
          <w:lang w:val="id_ID" w:bidi="id_ID"/>
        </w:rPr>
        <w:t>1Raj. 22:41–50</w:t>
      </w:r>
      <w:r>
        <w:rPr>
          <w:lang w:val="id_ID" w:bidi="id_ID"/>
        </w:rPr>
        <w:t>) serta memperkenalkan penerus Ahab, Ahazia (</w:t>
      </w:r>
      <w:r>
        <w:rPr>
          <w:lang w:val="id_ID" w:bidi="id_ID"/>
        </w:rPr>
        <w:t>1Raj. 22:51–53</w:t>
      </w:r>
      <w:r>
        <w:rPr>
          <w:lang w:val="id_ID" w:bidi="id_ID"/>
        </w:rPr>
        <w:t>), yang kisahnya dimulai di Kitab 2 Raja-raja.</w:t>
      </w:r>
    </w:p>
    <w:p>
      <w:pPr>
        <w:pStyle w:val="Heading2"/>
      </w:pPr>
      <w:r>
        <w:rPr>
          <w:lang w:val="id_ID" w:bidi="id_ID"/>
        </w:rPr>
        <w:t>Penulisan dan Komposisi</w:t>
      </w:r>
    </w:p>
    <w:p>
      <w:pPr/>
      <w:r>
        <w:rPr>
          <w:lang w:val="id_ID" w:bidi="id_ID"/>
        </w:rPr>
      </w:r>
      <w:r>
        <w:rPr>
          <w:lang w:val="id_ID" w:bidi="id_ID"/>
        </w:rPr>
        <w:t>Kitab 1–2 Raja-raja mencerminkan perspektif yang koheren dari seorang penulis tunggal yang tidak dikenal, yang menurut tradisi Yahudi diidentifikasi sebagai Yeremia (</w:t>
      </w:r>
      <w:r>
        <w:rPr>
          <w:i/>
          <w:lang w:val="id_ID" w:bidi="id_ID"/>
        </w:rPr>
        <w:t>Baba Batra</w:t>
      </w:r>
      <w:r>
        <w:rPr>
          <w:lang w:val="id_ID" w:bidi="id_ID"/>
        </w:rPr>
        <w:t xml:space="preserve"> 15a). Penulis ini menyaksikan langsung jatuhnya Yerusalem dan sangat mengenal sumber-sumber yang memungkinkannya menyusun sejarah yang kaya tentang pemerintahan Salomo dan kerajaan yang terpecah. Penulis memiliki akses ke arsip resmi istana dan Bait Suci serta catatan yang disimpan di berbagai pusat kenabian. Dia dengan terampil merajut sumber-sumber ini menjadi sebuah presentasi yang terpadu, menunjukkan perhatian utama terhadap kegagalan berulang bangsanya untuk menghormati hubungan perjanjian mereka dengan Allah.</w:t>
      </w:r>
    </w:p>
    <w:p>
      <w:pPr/>
      <w:r>
        <w:rPr>
          <w:lang w:val="id_ID" w:bidi="id_ID"/>
        </w:rPr>
      </w:r>
      <w:r>
        <w:rPr>
          <w:lang w:val="id_ID" w:bidi="id_ID"/>
        </w:rPr>
        <w:t xml:space="preserve">Tidak jelas apakah penulis masih hidup dan menulis lampiran terakhir mengenai pembebasan Yoyakhin (561 Sebelum Masehi; </w:t>
      </w:r>
      <w:r>
        <w:rPr>
          <w:lang w:val="id_ID" w:bidi="id_ID"/>
        </w:rPr>
        <w:t>2Raj. 25:27–30</w:t>
      </w:r>
      <w:r>
        <w:rPr>
          <w:lang w:val="id_ID" w:bidi="id_ID"/>
        </w:rPr>
        <w:t xml:space="preserve">; bandingkan </w:t>
      </w:r>
      <w:r>
        <w:rPr>
          <w:lang w:val="id_ID" w:bidi="id_ID"/>
        </w:rPr>
        <w:t>Yer. 52:31–34</w:t>
      </w:r>
      <w:r>
        <w:rPr>
          <w:lang w:val="id_ID" w:bidi="id_ID"/>
        </w:rPr>
        <w:t>). Jika tidak, ayat-ayat ini mungkin ditambahkan oleh seseorang yang sangat memahami Kitab 1–2 Raja-raja dan memiliki semangat yang sejalan dengan penulis utama.</w:t>
      </w:r>
    </w:p>
    <w:p>
      <w:pPr/>
      <w:r>
        <w:rPr>
          <w:lang w:val="id_ID" w:bidi="id_ID"/>
        </w:rPr>
      </w:r>
      <w:r>
        <w:rPr>
          <w:lang w:val="id_ID" w:bidi="id_ID"/>
        </w:rPr>
        <w:t>Kitab 1–2 Raja-raja mencakup periode waktu yang sama dengan Kitab 2 Tawarikh. Oleh karena itu, terdapat banyak bagian paralel dengan kata-kata yang serupa. Namun, para penulis memiliki tujuan yang berbeda dalam penulisan, dan perbedaan ini dapat terlihat dengan membandingkan berbagai bagian paralel tersebut.</w:t>
      </w:r>
    </w:p>
    <w:p>
      <w:pPr>
        <w:pStyle w:val="Heading2"/>
      </w:pPr>
      <w:r>
        <w:rPr>
          <w:lang w:val="id_ID" w:bidi="id_ID"/>
        </w:rPr>
        <w:t>Penanggalan</w:t>
      </w:r>
    </w:p>
    <w:p>
      <w:pPr/>
      <w:r>
        <w:rPr>
          <w:lang w:val="id_ID" w:bidi="id_ID"/>
        </w:rPr>
      </w:r>
      <w:r>
        <w:rPr>
          <w:lang w:val="id_ID" w:bidi="id_ID"/>
        </w:rPr>
        <w:t>Karena Kitab 2 Raja-raja mencatat jatuhnya Yerusalem pada tahun 586 Sebelum Masehi (</w:t>
      </w:r>
      <w:r>
        <w:rPr>
          <w:lang w:val="id_ID" w:bidi="id_ID"/>
        </w:rPr>
        <w:t>2Raj. 24:18–25:21</w:t>
      </w:r>
      <w:r>
        <w:rPr>
          <w:lang w:val="id_ID" w:bidi="id_ID"/>
        </w:rPr>
        <w:t>), penulisan Kitab 1–2 Raja-raja harus sudah diselesaikan setelah peristiwa tersebut.</w:t>
      </w:r>
    </w:p>
    <w:p>
      <w:pPr/>
      <w:r>
        <w:rPr>
          <w:lang w:val="id_ID" w:bidi="id_ID"/>
        </w:rPr>
      </w:r>
      <w:r>
        <w:rPr>
          <w:lang w:val="id_ID" w:bidi="id_ID"/>
        </w:rPr>
        <w:t xml:space="preserve">Penanggalan masa pemerintahan berbagai raja dan pengaturan kronologis dalam Kitab 1–2 Raja-raja masih agak bermasalah, tetapi penanggalan umum periode tersebut tampaknya jelas. Periode utama untuk Kitab 1 Raja-raja berlangsung dari sekitar 973 Sebelum Masehi (termasuk kira-kira dua tahun terakhir pemerintahan Daud di Yerusalem, </w:t>
      </w:r>
      <w:r>
        <w:rPr>
          <w:lang w:val="id_ID" w:bidi="id_ID"/>
        </w:rPr>
        <w:t>2Sam. 5:4–5</w:t>
      </w:r>
      <w:r>
        <w:rPr>
          <w:lang w:val="id_ID" w:bidi="id_ID"/>
        </w:rPr>
        <w:t>) hingga sekitar 853 Sebelum Masehi, selama pemerintahan Yosafat dari Yehuda (872–848 Sebelum Masehi) dan Ahazia dari Israel (853–852 Sebelum Masehi). Kitab 2 Raja-raja melanjutkan dari mana Kitab 1 Raja-raja berhenti (awalnya, 1–2 Raja-raja adalah satu Kitab). Lampiran terakhir untuk 2 Raja-raja (</w:t>
      </w:r>
      <w:r>
        <w:rPr>
          <w:lang w:val="id_ID" w:bidi="id_ID"/>
        </w:rPr>
        <w:t>2Raj. 25:27–30</w:t>
      </w:r>
      <w:r>
        <w:rPr>
          <w:lang w:val="id_ID" w:bidi="id_ID"/>
        </w:rPr>
        <w:t>) ditulis tak lama setelah kematian Nebukadnezar II pada 562 Sebelum Masehi.</w:t>
      </w:r>
    </w:p>
    <w:p>
      <w:pPr>
        <w:pStyle w:val="Heading2"/>
      </w:pPr>
      <w:r>
        <w:rPr>
          <w:lang w:val="id_ID" w:bidi="id_ID"/>
        </w:rPr>
        <w:t>Kronologi</w:t>
      </w:r>
    </w:p>
    <w:p>
      <w:pPr/>
      <w:r>
        <w:rPr>
          <w:lang w:val="id_ID" w:bidi="id_ID"/>
        </w:rPr>
      </w:r>
      <w:r>
        <w:rPr>
          <w:lang w:val="id_ID" w:bidi="id_ID"/>
        </w:rPr>
        <w:t>Tanggal-tanggal pemerintahan raja-raja Israel dan Yehuda ditentukan dengan membandingkan data Alkitab dengan informasi dari sumber lain pada periode tersebut, termasuk catatan sejarah dan fenomena astronomi. Data ini sering menyoroti praktik pemerintahan bersama, di mana seorang raja yang berkuasa menunjuk putranya sebagai pewaris dan penguasa bersama. Praktik ini umum di Israel dan Yehuda. Oleh karena itu, penanggalan berbagai raja tidak selalu berurutan dan mengandung tingkat tumpang tindih tertentu. Meskipun menentukan tanggal yang tepat selama periode monarki adalah sesuatu yang kompleks, keselarasan yang luar biasa antara catatan Asyur, Babel, Aram, Mesir, dan Israel menyoroti keandalan sejarah dari catatan Alkitab.</w:t>
      </w:r>
    </w:p>
    <w:p>
      <w:pPr>
        <w:pStyle w:val="Heading2"/>
      </w:pPr>
      <w:r>
        <w:rPr>
          <w:lang w:val="id_ID" w:bidi="id_ID"/>
        </w:rPr>
        <w:t>Makna dan Pesan</w:t>
      </w:r>
    </w:p>
    <w:p>
      <w:pPr/>
      <w:r>
        <w:rPr>
          <w:lang w:val="id_ID" w:bidi="id_ID"/>
        </w:rPr>
      </w:r>
      <w:r>
        <w:rPr>
          <w:lang w:val="id_ID" w:bidi="id_ID"/>
        </w:rPr>
        <w:t>Keprihatinan utama dari Kitab 1 Raja-raja adalah kondisi rohani bangsa Israel: Seberapa baik para penguasa dan rakyat Israel menjaga perjanjian Allah? Perjanjian khusus Allah dengan Daud memiliki syarat untuk memberkati raja Israel dan kerajaannya (</w:t>
      </w:r>
      <w:r>
        <w:rPr>
          <w:lang w:val="id_ID" w:bidi="id_ID"/>
        </w:rPr>
        <w:t>2Sam. 7:12–16</w:t>
      </w:r>
      <w:r>
        <w:rPr>
          <w:lang w:val="id_ID" w:bidi="id_ID"/>
        </w:rPr>
        <w:t xml:space="preserve">; </w:t>
      </w:r>
      <w:r>
        <w:rPr>
          <w:lang w:val="id_ID" w:bidi="id_ID"/>
        </w:rPr>
        <w:t>Mzm. 89:20–37</w:t>
      </w:r>
      <w:r>
        <w:rPr>
          <w:lang w:val="id_ID" w:bidi="id_ID"/>
        </w:rPr>
        <w:t>). Tiga penampakan Allah kepada Salomo menyoroti potensi kehidupan rohani yang berhasil dan bermakna, serta konsekuensi tragis dari ketidaksetiaan rohani dan bersandar pada kebijaksanaan. Setiap raja yang menggantikannya dievaluasi berdasarkan kesetiaannya kepada Allah—berdasarkan keberhasilan atau kegagalannya dalam menjaga perjanjian Allah.</w:t>
      </w:r>
    </w:p>
    <w:p>
      <w:pPr/>
      <w:r>
        <w:rPr>
          <w:lang w:val="id_ID" w:bidi="id_ID"/>
        </w:rPr>
      </w:r>
      <w:r>
        <w:rPr>
          <w:lang w:val="id_ID" w:bidi="id_ID"/>
        </w:rPr>
        <w:t>Kitab 1 Raja-raja menekankan peran para nabi Allah dalam memberikan nasihat, teguran, dan peringatan kepada para raja. Meskipun perhatian khusus diberikan pada pelayanan Elia (</w:t>
      </w:r>
      <w:r>
        <w:rPr>
          <w:lang w:val="id_ID" w:bidi="id_ID"/>
        </w:rPr>
        <w:t>1Raj. 17:1–19:21</w:t>
      </w:r>
      <w:r>
        <w:rPr>
          <w:lang w:val="id_ID" w:bidi="id_ID"/>
        </w:rPr>
        <w:t xml:space="preserve">; </w:t>
      </w:r>
      <w:r>
        <w:rPr>
          <w:lang w:val="id_ID" w:bidi="id_ID"/>
        </w:rPr>
        <w:t>21:1–29</w:t>
      </w:r>
      <w:r>
        <w:rPr>
          <w:lang w:val="id_ID" w:bidi="id_ID"/>
        </w:rPr>
        <w:t>), Allah juga bekerja melalui nabi-nabi lain untuk menuntut kesetiaan umat-Nya.</w:t>
      </w:r>
    </w:p>
    <w:p>
      <w:pPr/>
      <w:r>
        <w:rPr>
          <w:lang w:val="id_ID" w:bidi="id_ID"/>
        </w:rPr>
      </w:r>
      <w:r>
        <w:rPr>
          <w:lang w:val="id_ID" w:bidi="id_ID"/>
        </w:rPr>
        <w:t>Perjalanan kerohanian para raja dan nabi Israel menantang semua umat Allah untuk berbakti dan melayani dengan setia. Kecenderungan Israel yang sering memilih hal-hal yang nyata dan praktis mengingatkan kita untuk "waspadalah terhadap segala berhala." (</w:t>
      </w:r>
      <w:r>
        <w:rPr>
          <w:lang w:val="id_ID" w:bidi="id_ID"/>
        </w:rPr>
        <w:t>1Yoh. 5:21</w:t>
      </w:r>
      <w:r>
        <w:rPr>
          <w:lang w:val="id_ID" w:bidi="id_ID"/>
        </w:rPr>
        <w:t>). Seperti para nabi zaman dahulu, hamba-hamba Allah saat ini harus menegaskan pentingnya menyembah Allah saja.</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