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Mazmur</w:t>
      </w:r>
      <w:r>
        <w:rPr>
          <w:lang w:val="id_ID" w:bidi="id_ID"/>
        </w:rPr>
      </w:r>
    </w:p>
    <w:p>
      <w:pPr/>
      <w:r>
        <w:rPr>
          <w:lang w:val="id_ID" w:bidi="id_ID"/>
        </w:rPr>
      </w:r>
      <w:r>
        <w:rPr>
          <w:lang w:val="id_ID" w:bidi="id_ID"/>
        </w:rPr>
        <w:t>Yesus dan para rasul mencintai Kitab Mazmur—mereka sering mengutipnya dan menjadikannya bagian dari kehidupan mereka. Doa-doa dan puji-pujian kuno dari Israel ini menjadi jembatan antara Perjanjian Lama dan Perjanjian Baru; tema-tema yang diperkenalkan dalam Kitab Mazmur mendapatkan perkembangan lebih lanjut dalam Perjanjian Baru. Ketika dinasti Daud gagal, Yesus memberikan harapan baru. Namun, beberapa harapan yang muncul dalam Kitab Mazmur masih menunggu untuk masa depan, yaitu bahwa umat Allah akan sepenuhnya memenuhi tujuannya dan bahwa semua bangsa akan tunduk kepada Mesias.</w:t>
      </w:r>
    </w:p>
    <w:p>
      <w:pPr>
        <w:pStyle w:val="Heading2"/>
      </w:pPr>
      <w:r>
        <w:rPr>
          <w:lang w:val="id_ID" w:bidi="id_ID"/>
        </w:rPr>
        <w:t>Rangkuman</w:t>
      </w:r>
    </w:p>
    <w:p>
      <w:pPr/>
      <w:r>
        <w:rPr>
          <w:lang w:val="id_ID" w:bidi="id_ID"/>
        </w:rPr>
      </w:r>
      <w:r>
        <w:rPr>
          <w:lang w:val="id_ID" w:bidi="id_ID"/>
        </w:rPr>
        <w:t xml:space="preserve">Kitab Mazmur, seperti semua Kitab Suci, diilhami dan diberikan oleh Allah (lihat </w:t>
      </w:r>
      <w:r>
        <w:rPr>
          <w:lang w:val="id_ID" w:bidi="id_ID"/>
        </w:rPr>
        <w:t>2Tim. 3:16</w:t>
      </w:r>
      <w:r>
        <w:rPr>
          <w:lang w:val="id_ID" w:bidi="id_ID"/>
        </w:rPr>
        <w:t>). Namun, setiap mazmur berasal dari penulis manusia sebagai doa atau pujian kepada Tuhan. Kitab Mazmur memiliki keberagaman: mencakup ratapan, pujian, kebijaksanaan, ucapan syukur, refleksi atas tindakan Allah, perayaan Wahyu Allah, dan penyembahan.</w:t>
      </w:r>
    </w:p>
    <w:p>
      <w:pPr/>
      <w:r>
        <w:rPr>
          <w:lang w:val="id_ID" w:bidi="id_ID"/>
        </w:rPr>
      </w:r>
      <w:r>
        <w:rPr>
          <w:lang w:val="id_ID" w:bidi="id_ID"/>
        </w:rPr>
        <w:t xml:space="preserve">Dua pasal pertama dari Kitab Mazmur berfungsi sebagai pengantar untuk seluruh Mazmur (Kitab Mazmur). </w:t>
      </w:r>
      <w:r>
        <w:rPr>
          <w:lang w:val="id_ID" w:bidi="id_ID"/>
        </w:rPr>
        <w:t>Mazmur 1</w:t>
      </w:r>
      <w:r>
        <w:rPr>
          <w:lang w:val="id_ID" w:bidi="id_ID"/>
        </w:rPr>
        <w:t xml:space="preserve"> menggambarkan orang saleh yang berkenan kepada Allah, hidup menurut petunjuk ilahi, dan tidak terpengaruh oleh orang jahat. </w:t>
      </w:r>
      <w:r>
        <w:rPr>
          <w:lang w:val="id_ID" w:bidi="id_ID"/>
        </w:rPr>
        <w:t>Mazmur 1</w:t>
      </w:r>
      <w:r>
        <w:rPr>
          <w:lang w:val="id_ID" w:bidi="id_ID"/>
        </w:rPr>
        <w:t xml:space="preserve"> menimbulkan tiga pertanyaan: (1) Apakah ada pengampunan untuk dosa? (2) Mengapa orang saleh menderita? dan (3) Mengapa orang jahat makmur? Sisa dari Kitab Mazmur merenungkan pertanyaan-pertanyaan ini.</w:t>
      </w:r>
    </w:p>
    <w:p>
      <w:pPr/>
      <w:r>
        <w:rPr>
          <w:lang w:val="id_ID" w:bidi="id_ID"/>
        </w:rPr>
      </w:r>
      <w:r>
        <w:rPr>
          <w:lang w:val="id_ID" w:bidi="id_ID"/>
        </w:rPr>
        <w:t>Mazmur 2</w:t>
      </w:r>
      <w:r>
        <w:rPr>
          <w:lang w:val="id_ID" w:bidi="id_ID"/>
        </w:rPr>
        <w:t xml:space="preserve"> membahas bagaimana bangsa-bangsa dan orang jahat memberontak melawan pemerintahan Allah. Allah menghakimi para pemberontak dan melindungi orang-orang saleh. </w:t>
      </w:r>
      <w:r>
        <w:rPr>
          <w:lang w:val="id_ID" w:bidi="id_ID"/>
        </w:rPr>
        <w:t>Mazmur 2</w:t>
      </w:r>
      <w:r>
        <w:rPr>
          <w:lang w:val="id_ID" w:bidi="id_ID"/>
        </w:rPr>
        <w:t xml:space="preserve"> mengajukan dua pertanyaan: (1) Mengapa bangsa-bangsa yang memberontak dan orang jahat tampak makmur? dan (2) Mengapa raja-raja dari garis keturunan Daud tidak menang?</w:t>
      </w:r>
    </w:p>
    <w:p>
      <w:pPr/>
      <w:r>
        <w:rPr>
          <w:lang w:val="id_ID" w:bidi="id_ID"/>
        </w:rPr>
      </w:r>
      <w:r>
        <w:rPr>
          <w:lang w:val="id_ID" w:bidi="id_ID"/>
        </w:rPr>
        <w:t>Para pemazmur sebagian besar bergulat dengan pertanyaan-pertanyaan ini. Beberapa dengan tenang menerima masalah mereka, sementara yang lain mempertanyakan Allah atau merasa putus asa. Di sisi lain, pertanyaan dan masalah baru muncul dari dialog mereka dengan Allah.</w:t>
      </w:r>
    </w:p>
    <w:p>
      <w:pPr>
        <w:pStyle w:val="Heading2"/>
      </w:pPr>
      <w:r>
        <w:rPr>
          <w:lang w:val="id_ID" w:bidi="id_ID"/>
        </w:rPr>
        <w:t>Susunan Kitab Mazmur</w:t>
      </w:r>
    </w:p>
    <w:p>
      <w:pPr/>
      <w:r>
        <w:rPr>
          <w:lang w:val="id_ID" w:bidi="id_ID"/>
        </w:rPr>
      </w:r>
      <w:r>
        <w:rPr>
          <w:lang w:val="id_ID" w:bidi="id_ID"/>
        </w:rPr>
        <w:t>Selama seribu tahun, para penyair menulis puisi-puisi ini, sementara orang-orang membacakan dan mengumpulkannya. Liturgi Bait Suci mendorong baik penulisan maupun pengumpulan Kitab Mazmur. Secara bertahap, editor menggabungkan koleksi-koleksi kecil menjadi koleksi yang lebih besar, membentuk lima koleksi menjadi satu Kitab Mazmur. Proses penyuntingan Kitab Mazmur menjadi satu Kitab berlangsung seiring waktu dan diselesaikan setelah pembuangan ke Babel. Ada beberapa penanda dari aktivitas editorial ini:</w:t>
      </w:r>
    </w:p>
    <w:p>
      <w:pPr>
        <w:pStyle w:val="ListNumber"/>
        <w:numPr>
          <w:ilvl w:val="0"/>
          <w:numId w:val="14"/>
        </w:numPr>
        <w:spacing w:line="240" w:lineRule="auto"/>
        <w:ind w:left="720"/>
      </w:pPr>
      <w:r>
        <w:rPr>
          <w:lang w:val="id_ID" w:bidi="id_ID"/>
        </w:rPr>
      </w:r>
      <w:r>
        <w:rPr>
          <w:lang w:val="id_ID" w:bidi="id_ID"/>
        </w:rPr>
        <w:t xml:space="preserve">Para penyunting menempatkan Kitab </w:t>
      </w:r>
      <w:r>
        <w:rPr>
          <w:lang w:val="id_ID" w:bidi="id_ID"/>
        </w:rPr>
        <w:t>Mazmur 1</w:t>
      </w:r>
      <w:r>
        <w:rPr>
          <w:lang w:val="id_ID" w:bidi="id_ID"/>
        </w:rPr>
        <w:t xml:space="preserve"> dan </w:t>
      </w:r>
      <w:r>
        <w:rPr>
          <w:lang w:val="id_ID" w:bidi="id_ID"/>
        </w:rPr>
        <w:t>2</w:t>
      </w:r>
      <w:r>
        <w:rPr>
          <w:lang w:val="id_ID" w:bidi="id_ID"/>
        </w:rPr>
        <w:t xml:space="preserve"> sebagai pengantar untuk seluruh Kitab Mazmur. Kedua bagian Mazmur ini memberikan gambaran yang ideal: </w:t>
      </w:r>
      <w:r>
        <w:rPr>
          <w:lang w:val="id_ID" w:bidi="id_ID"/>
        </w:rPr>
        <w:t>Mazmur 1</w:t>
      </w:r>
      <w:r>
        <w:rPr>
          <w:lang w:val="id_ID" w:bidi="id_ID"/>
        </w:rPr>
        <w:t xml:space="preserve"> menggambarkan orang saleh yang ideal yang hidup sesuai dengan petunjuk Allah. </w:t>
      </w:r>
      <w:r>
        <w:rPr>
          <w:lang w:val="id_ID" w:bidi="id_ID"/>
        </w:rPr>
        <w:t>Mazmur 2</w:t>
      </w:r>
      <w:r>
        <w:rPr>
          <w:lang w:val="id_ID" w:bidi="id_ID"/>
        </w:rPr>
        <w:t xml:space="preserve"> menggambarkan Mesias, raja yang ideal bagi Israel. Sisa dari Kitab Mazmur mengembangkan dan memperdalam gambaran ini, sambil pada saat yang sama mengeksplorasi bagaimana baik umat Allah maupun raja mereka tidak mampu memenuhi cita-cita Allah dan membawa kebahagiaan serta kedamaian kerajaan Allah.</w:t>
      </w:r>
    </w:p>
    <w:p>
      <w:pPr>
        <w:pStyle w:val="ListNumber"/>
        <w:spacing w:line="240" w:lineRule="auto"/>
        <w:ind w:left="720"/>
      </w:pPr>
      <w:r>
        <w:rPr>
          <w:lang w:val="id_ID" w:bidi="id_ID"/>
        </w:rPr>
      </w:r>
      <w:r>
        <w:rPr>
          <w:lang w:val="id_ID" w:bidi="id_ID"/>
        </w:rPr>
        <w:t>Mazmur individu dikumpulkan dalam kelompok. Para editor mengelompokkan Kitab Mazmur ini menjadi lima koleksi: Kitab Satu (</w:t>
      </w:r>
      <w:r>
        <w:rPr>
          <w:lang w:val="id_ID" w:bidi="id_ID"/>
        </w:rPr>
        <w:t>Mzm. 1–41</w:t>
      </w:r>
      <w:r>
        <w:rPr>
          <w:lang w:val="id_ID" w:bidi="id_ID"/>
        </w:rPr>
        <w:t xml:space="preserve">, dengan doksologi di </w:t>
      </w:r>
      <w:r>
        <w:rPr>
          <w:lang w:val="id_ID" w:bidi="id_ID"/>
        </w:rPr>
        <w:t>41:13</w:t>
      </w:r>
      <w:r>
        <w:rPr>
          <w:lang w:val="id_ID" w:bidi="id_ID"/>
        </w:rPr>
        <w:t>), Kitab Dua (</w:t>
      </w:r>
      <w:r>
        <w:rPr>
          <w:lang w:val="id_ID" w:bidi="id_ID"/>
        </w:rPr>
        <w:t>Mzm. 42–72</w:t>
      </w:r>
      <w:r>
        <w:rPr>
          <w:lang w:val="id_ID" w:bidi="id_ID"/>
        </w:rPr>
        <w:t xml:space="preserve">, dengan doksologi di </w:t>
      </w:r>
      <w:r>
        <w:rPr>
          <w:lang w:val="id_ID" w:bidi="id_ID"/>
        </w:rPr>
        <w:t>72:19</w:t>
      </w:r>
      <w:r>
        <w:rPr>
          <w:lang w:val="id_ID" w:bidi="id_ID"/>
        </w:rPr>
        <w:t>), Kitab Tiga (</w:t>
      </w:r>
      <w:r>
        <w:rPr>
          <w:lang w:val="id_ID" w:bidi="id_ID"/>
        </w:rPr>
        <w:t>Mzm. 73–89</w:t>
      </w:r>
      <w:r>
        <w:rPr>
          <w:lang w:val="id_ID" w:bidi="id_ID"/>
        </w:rPr>
        <w:t xml:space="preserve">, dengan doksologi di </w:t>
      </w:r>
      <w:r>
        <w:rPr>
          <w:lang w:val="id_ID" w:bidi="id_ID"/>
        </w:rPr>
        <w:t>89:52</w:t>
      </w:r>
      <w:r>
        <w:rPr>
          <w:lang w:val="id_ID" w:bidi="id_ID"/>
        </w:rPr>
        <w:t>), Kitab Empat (</w:t>
      </w:r>
      <w:r>
        <w:rPr>
          <w:lang w:val="id_ID" w:bidi="id_ID"/>
        </w:rPr>
        <w:t>Mzm. 90–106</w:t>
      </w:r>
      <w:r>
        <w:rPr>
          <w:lang w:val="id_ID" w:bidi="id_ID"/>
        </w:rPr>
        <w:t xml:space="preserve">, dengan doksologi di </w:t>
      </w:r>
      <w:r>
        <w:rPr>
          <w:lang w:val="id_ID" w:bidi="id_ID"/>
        </w:rPr>
        <w:t>106:48</w:t>
      </w:r>
      <w:r>
        <w:rPr>
          <w:lang w:val="id_ID" w:bidi="id_ID"/>
        </w:rPr>
        <w:t>), dan Kitab Lima (</w:t>
      </w:r>
      <w:r>
        <w:rPr>
          <w:lang w:val="id_ID" w:bidi="id_ID"/>
        </w:rPr>
        <w:t>Mzm. 107–150</w:t>
      </w:r>
      <w:r>
        <w:rPr>
          <w:lang w:val="id_ID" w:bidi="id_ID"/>
        </w:rPr>
        <w:t>, tanpa doksologi).</w:t>
      </w:r>
    </w:p>
    <w:p>
      <w:pPr>
        <w:pStyle w:val="ListNumber"/>
        <w:spacing w:line="240" w:lineRule="auto"/>
        <w:ind w:left="720"/>
      </w:pPr>
      <w:r>
        <w:rPr>
          <w:lang w:val="id_ID" w:bidi="id_ID"/>
        </w:rPr>
      </w:r>
      <w:r>
        <w:rPr>
          <w:lang w:val="id_ID" w:bidi="id_ID"/>
        </w:rPr>
        <w:t>Kitab Satu (</w:t>
      </w:r>
      <w:r>
        <w:rPr>
          <w:lang w:val="id_ID" w:bidi="id_ID"/>
        </w:rPr>
        <w:t>Mzm. 1–41</w:t>
      </w:r>
      <w:r>
        <w:rPr>
          <w:lang w:val="id_ID" w:bidi="id_ID"/>
        </w:rPr>
        <w:t>) dan Dua (</w:t>
      </w:r>
      <w:r>
        <w:rPr>
          <w:lang w:val="id_ID" w:bidi="id_ID"/>
        </w:rPr>
        <w:t>Mzm. 42–72</w:t>
      </w:r>
      <w:r>
        <w:rPr>
          <w:lang w:val="id_ID" w:bidi="id_ID"/>
        </w:rPr>
        <w:t>) membentuk tahap awal dari koleksi tersebut. Peralihan dari Daud dalam Kitab Satu (</w:t>
      </w:r>
      <w:r>
        <w:rPr>
          <w:lang w:val="id_ID" w:bidi="id_ID"/>
        </w:rPr>
        <w:t>Mzm. 3–32</w:t>
      </w:r>
      <w:r>
        <w:rPr>
          <w:lang w:val="id_ID" w:bidi="id_ID"/>
        </w:rPr>
        <w:t xml:space="preserve">; </w:t>
      </w:r>
      <w:r>
        <w:rPr>
          <w:lang w:val="id_ID" w:bidi="id_ID"/>
        </w:rPr>
        <w:t>34–41</w:t>
      </w:r>
      <w:r>
        <w:rPr>
          <w:lang w:val="id_ID" w:bidi="id_ID"/>
        </w:rPr>
        <w:t xml:space="preserve">) ke koleksi Kitab Mazmur oleh berbagai penulis dalam Kitab Dua (keturunan Korah, </w:t>
      </w:r>
      <w:r>
        <w:rPr>
          <w:lang w:val="id_ID" w:bidi="id_ID"/>
        </w:rPr>
        <w:t>Mzm. 42–49</w:t>
      </w:r>
      <w:r>
        <w:rPr>
          <w:lang w:val="id_ID" w:bidi="id_ID"/>
        </w:rPr>
        <w:t xml:space="preserve">; Asaf, </w:t>
      </w:r>
      <w:r>
        <w:rPr>
          <w:lang w:val="id_ID" w:bidi="id_ID"/>
        </w:rPr>
        <w:t>Mzm. 50</w:t>
      </w:r>
      <w:r>
        <w:rPr>
          <w:lang w:val="id_ID" w:bidi="id_ID"/>
        </w:rPr>
        <w:t xml:space="preserve">; Daud, </w:t>
      </w:r>
      <w:r>
        <w:rPr>
          <w:lang w:val="id_ID" w:bidi="id_ID"/>
        </w:rPr>
        <w:t>Mzm. 51–65</w:t>
      </w:r>
      <w:r>
        <w:rPr>
          <w:lang w:val="id_ID" w:bidi="id_ID"/>
        </w:rPr>
        <w:t xml:space="preserve">; </w:t>
      </w:r>
      <w:r>
        <w:rPr>
          <w:lang w:val="id_ID" w:bidi="id_ID"/>
        </w:rPr>
        <w:t>68–70</w:t>
      </w:r>
      <w:r>
        <w:rPr>
          <w:lang w:val="id_ID" w:bidi="id_ID"/>
        </w:rPr>
        <w:t xml:space="preserve">; Salomo, </w:t>
      </w:r>
      <w:r>
        <w:rPr>
          <w:lang w:val="id_ID" w:bidi="id_ID"/>
        </w:rPr>
        <w:t>Mzm. 72</w:t>
      </w:r>
      <w:r>
        <w:rPr>
          <w:lang w:val="id_ID" w:bidi="id_ID"/>
        </w:rPr>
        <w:t>) menunjukkan transisi tematik dari Daud sebagai satu-satunya model dan guru ke perspektif lainnya. Di akhir Kitab Dua, penyunting berkomentar, “Sekianlah doa-doa Daud bin Isai.” (</w:t>
      </w:r>
      <w:r>
        <w:rPr>
          <w:lang w:val="id_ID" w:bidi="id_ID"/>
        </w:rPr>
        <w:t>Mzm. 72:20</w:t>
      </w:r>
      <w:r>
        <w:rPr>
          <w:lang w:val="id_ID" w:bidi="id_ID"/>
        </w:rPr>
        <w:t>). Komentar ini tetap ada bahkan ketika Kitab Tiga, Empat, dan Lima (dengan tambahan Mazmur dari Daud) ditambahkan ke dalam koleksi.</w:t>
      </w:r>
    </w:p>
    <w:p>
      <w:pPr>
        <w:pStyle w:val="ListNumber"/>
        <w:spacing w:line="240" w:lineRule="auto"/>
        <w:ind w:left="720"/>
      </w:pPr>
      <w:r>
        <w:rPr>
          <w:lang w:val="id_ID" w:bidi="id_ID"/>
        </w:rPr>
      </w:r>
      <w:r>
        <w:rPr>
          <w:lang w:val="id_ID" w:bidi="id_ID"/>
        </w:rPr>
        <w:t>Kitab Tiga (</w:t>
      </w:r>
      <w:r>
        <w:rPr>
          <w:lang w:val="id_ID" w:bidi="id_ID"/>
        </w:rPr>
        <w:t>Mzm. 73–89</w:t>
      </w:r>
      <w:r>
        <w:rPr>
          <w:lang w:val="id_ID" w:bidi="id_ID"/>
        </w:rPr>
        <w:t xml:space="preserve">) memiliki kesamaan dengan Kitab Dua dalam preferensinya menggunakan nama </w:t>
      </w:r>
      <w:r>
        <w:rPr>
          <w:i/>
          <w:lang w:val="id_ID" w:bidi="id_ID"/>
        </w:rPr>
        <w:t>Elohim</w:t>
      </w:r>
      <w:r>
        <w:rPr>
          <w:lang w:val="id_ID" w:bidi="id_ID"/>
        </w:rPr>
        <w:t xml:space="preserve"> untuk Allah (</w:t>
      </w:r>
      <w:r>
        <w:rPr>
          <w:lang w:val="id_ID" w:bidi="id_ID"/>
        </w:rPr>
        <w:t>Mzm. 42–83</w:t>
      </w:r>
      <w:r>
        <w:rPr>
          <w:lang w:val="id_ID" w:bidi="id_ID"/>
        </w:rPr>
        <w:t xml:space="preserve">) dan keragaman penulisnya (Asaf, </w:t>
      </w:r>
      <w:r>
        <w:rPr>
          <w:lang w:val="id_ID" w:bidi="id_ID"/>
        </w:rPr>
        <w:t>Mzm. 73–83</w:t>
      </w:r>
      <w:r>
        <w:rPr>
          <w:lang w:val="id_ID" w:bidi="id_ID"/>
        </w:rPr>
        <w:t xml:space="preserve">; keturunan Korah, </w:t>
      </w:r>
      <w:r>
        <w:rPr>
          <w:lang w:val="id_ID" w:bidi="id_ID"/>
        </w:rPr>
        <w:t>Mzm. 84–85</w:t>
      </w:r>
      <w:r>
        <w:rPr>
          <w:lang w:val="id_ID" w:bidi="id_ID"/>
        </w:rPr>
        <w:t xml:space="preserve">; </w:t>
      </w:r>
      <w:r>
        <w:rPr>
          <w:lang w:val="id_ID" w:bidi="id_ID"/>
        </w:rPr>
        <w:t>87–88</w:t>
      </w:r>
      <w:r>
        <w:rPr>
          <w:lang w:val="id_ID" w:bidi="id_ID"/>
        </w:rPr>
        <w:t xml:space="preserve">; Daud, </w:t>
      </w:r>
      <w:r>
        <w:rPr>
          <w:lang w:val="id_ID" w:bidi="id_ID"/>
        </w:rPr>
        <w:t>Mzm. 86</w:t>
      </w:r>
      <w:r>
        <w:rPr>
          <w:lang w:val="id_ID" w:bidi="id_ID"/>
        </w:rPr>
        <w:t xml:space="preserve">). </w:t>
      </w:r>
      <w:r>
        <w:rPr>
          <w:lang w:val="id_ID" w:bidi="id_ID"/>
        </w:rPr>
        <w:t>Mazmur 73</w:t>
      </w:r>
      <w:r>
        <w:rPr>
          <w:lang w:val="id_ID" w:bidi="id_ID"/>
        </w:rPr>
        <w:t>, yang membuka Kitab Tiga, mempertanyakan keadilan dan kekuasaan Allah, sehingga menimbulkan keraguan terhadap visi megah kerajaan mesianik yang digambarkan dalam mazmur terakhir Kitab Dua (</w:t>
      </w:r>
      <w:r>
        <w:rPr>
          <w:lang w:val="id_ID" w:bidi="id_ID"/>
        </w:rPr>
        <w:t>Mzm. 72</w:t>
      </w:r>
      <w:r>
        <w:rPr>
          <w:lang w:val="id_ID" w:bidi="id_ID"/>
        </w:rPr>
        <w:t xml:space="preserve">). Pertanyaan ini muncul kembali dalam </w:t>
      </w:r>
      <w:r>
        <w:rPr>
          <w:lang w:val="id_ID" w:bidi="id_ID"/>
        </w:rPr>
        <w:t>Mazmur 89</w:t>
      </w:r>
      <w:r>
        <w:rPr>
          <w:lang w:val="id_ID" w:bidi="id_ID"/>
        </w:rPr>
        <w:t>, di akhir Kitab Tiga.</w:t>
      </w:r>
    </w:p>
    <w:p>
      <w:pPr>
        <w:pStyle w:val="ListNumber"/>
        <w:spacing w:line="240" w:lineRule="auto"/>
        <w:ind w:left="720"/>
      </w:pPr>
      <w:r>
        <w:rPr>
          <w:lang w:val="id_ID" w:bidi="id_ID"/>
        </w:rPr>
      </w:r>
      <w:r>
        <w:rPr>
          <w:lang w:val="id_ID" w:bidi="id_ID"/>
        </w:rPr>
        <w:t>Mazmur dari Kitab Empat (</w:t>
      </w:r>
      <w:r>
        <w:rPr>
          <w:lang w:val="id_ID" w:bidi="id_ID"/>
        </w:rPr>
        <w:t>Mzm. 90–106</w:t>
      </w:r>
      <w:r>
        <w:rPr>
          <w:lang w:val="id_ID" w:bidi="id_ID"/>
        </w:rPr>
        <w:t xml:space="preserve">) menghadapi pertanyaan yang muncul selama masa Pembuangan, ketika tampaknya Perjanjian Allah dengan Daud telah dibatalkan (lihat </w:t>
      </w:r>
      <w:r>
        <w:rPr>
          <w:lang w:val="id_ID" w:bidi="id_ID"/>
        </w:rPr>
        <w:t>Mzm. 89</w:t>
      </w:r>
      <w:r>
        <w:rPr>
          <w:lang w:val="id_ID" w:bidi="id_ID"/>
        </w:rPr>
        <w:t xml:space="preserve">). Menanggapi krisis ini, beberapa mazmur mendorong pertumbuhan individu dalam karakter dan kesalehan (lihat </w:t>
      </w:r>
      <w:r>
        <w:rPr>
          <w:lang w:val="id_ID" w:bidi="id_ID"/>
        </w:rPr>
        <w:t>Mzm. 91–92</w:t>
      </w:r>
      <w:r>
        <w:rPr>
          <w:lang w:val="id_ID" w:bidi="id_ID"/>
        </w:rPr>
        <w:t>). Sebagian besar mazmur dalam koleksi ini menggambarkan Allah sebagai raja yang adil dan setia yang kerajaannya meluas ke seluruh ciptaan (</w:t>
      </w:r>
      <w:r>
        <w:rPr>
          <w:lang w:val="id_ID" w:bidi="id_ID"/>
        </w:rPr>
        <w:t>Mzm. 93–100</w:t>
      </w:r>
      <w:r>
        <w:rPr>
          <w:lang w:val="id_ID" w:bidi="id_ID"/>
        </w:rPr>
        <w:t>). Dia tetap mencintai umat-Nya, kawanan domba padang rumput-Nya (</w:t>
      </w:r>
      <w:r>
        <w:rPr>
          <w:lang w:val="id_ID" w:bidi="id_ID"/>
        </w:rPr>
        <w:t>Mzm. 100</w:t>
      </w:r>
      <w:r>
        <w:rPr>
          <w:lang w:val="id_ID" w:bidi="id_ID"/>
        </w:rPr>
        <w:t>), tetapi mereka harus mendengarkan-Nya (</w:t>
      </w:r>
      <w:r>
        <w:rPr>
          <w:lang w:val="id_ID" w:bidi="id_ID"/>
        </w:rPr>
        <w:t>Mzm. 95</w:t>
      </w:r>
      <w:r>
        <w:rPr>
          <w:lang w:val="id_ID" w:bidi="id_ID"/>
        </w:rPr>
        <w:t xml:space="preserve">; </w:t>
      </w:r>
      <w:r>
        <w:rPr>
          <w:lang w:val="id_ID" w:bidi="id_ID"/>
        </w:rPr>
        <w:t>100</w:t>
      </w:r>
      <w:r>
        <w:rPr>
          <w:lang w:val="id_ID" w:bidi="id_ID"/>
        </w:rPr>
        <w:t>). Allah adalah sumber pengampunan, dan belas kasih-Nya meyakinkan umat-Nya yang terbuang bahwa Dia masih peduli pada mereka. Tinjauan sejarah penebusan dari penciptaan hingga Pembuangan (</w:t>
      </w:r>
      <w:r>
        <w:rPr>
          <w:lang w:val="id_ID" w:bidi="id_ID"/>
        </w:rPr>
        <w:t>Mzm. 104–106</w:t>
      </w:r>
      <w:r>
        <w:rPr>
          <w:lang w:val="id_ID" w:bidi="id_ID"/>
        </w:rPr>
        <w:t>) menekankan baik kebijaksanaan Allah maupun kebodohan Israel sebagai kerangka untuk memahami peristiwa Pembuangan.</w:t>
      </w:r>
    </w:p>
    <w:p>
      <w:pPr>
        <w:pStyle w:val="ListNumber"/>
        <w:spacing w:line="240" w:lineRule="auto"/>
        <w:ind w:left="720"/>
      </w:pPr>
      <w:r>
        <w:rPr>
          <w:lang w:val="id_ID" w:bidi="id_ID"/>
        </w:rPr>
      </w:r>
      <w:r>
        <w:rPr>
          <w:lang w:val="id_ID" w:bidi="id_ID"/>
        </w:rPr>
        <w:t xml:space="preserve">Doa dari Kitab </w:t>
      </w:r>
      <w:r>
        <w:rPr>
          <w:lang w:val="id_ID" w:bidi="id_ID"/>
        </w:rPr>
        <w:t>Mazmur 106:48</w:t>
      </w:r>
      <w:r>
        <w:rPr>
          <w:lang w:val="id_ID" w:bidi="id_ID"/>
        </w:rPr>
        <w:t xml:space="preserve"> juga termasuk dalam Kitab </w:t>
      </w:r>
      <w:r>
        <w:rPr>
          <w:lang w:val="id_ID" w:bidi="id_ID"/>
        </w:rPr>
        <w:t>1 Tawarikh 16:36</w:t>
      </w:r>
      <w:r>
        <w:rPr>
          <w:lang w:val="id_ID" w:bidi="id_ID"/>
        </w:rPr>
        <w:t xml:space="preserve"> dan mungkin menunjukkan bahwa Kitab Keempat diselesaikan pada era pasca-pembuangan (ketika Tawarikh disusun).</w:t>
      </w:r>
    </w:p>
    <w:p>
      <w:pPr>
        <w:pStyle w:val="ListNumber"/>
        <w:spacing w:line="240" w:lineRule="auto"/>
        <w:ind w:left="720"/>
      </w:pPr>
      <w:r>
        <w:rPr>
          <w:lang w:val="id_ID" w:bidi="id_ID"/>
        </w:rPr>
      </w:r>
      <w:r>
        <w:rPr>
          <w:lang w:val="id_ID" w:bidi="id_ID"/>
        </w:rPr>
        <w:t>Kitab Lima (</w:t>
      </w:r>
      <w:r>
        <w:rPr>
          <w:lang w:val="id_ID" w:bidi="id_ID"/>
        </w:rPr>
        <w:t>Mzm. 107–150</w:t>
      </w:r>
      <w:r>
        <w:rPr>
          <w:lang w:val="id_ID" w:bidi="id_ID"/>
        </w:rPr>
        <w:t xml:space="preserve">) mencakup beberapa koleksi yang lebih kecil: </w:t>
      </w:r>
      <w:r>
        <w:rPr>
          <w:i/>
          <w:lang w:val="id_ID" w:bidi="id_ID"/>
        </w:rPr>
        <w:t>Hallel Mesir</w:t>
      </w:r>
      <w:r>
        <w:rPr>
          <w:lang w:val="id_ID" w:bidi="id_ID"/>
        </w:rPr>
        <w:t xml:space="preserve"> (</w:t>
      </w:r>
      <w:r>
        <w:rPr>
          <w:lang w:val="id_ID" w:bidi="id_ID"/>
        </w:rPr>
        <w:t>Mzm. 113–118</w:t>
      </w:r>
      <w:r>
        <w:rPr>
          <w:lang w:val="id_ID" w:bidi="id_ID"/>
        </w:rPr>
        <w:t xml:space="preserve">); </w:t>
      </w:r>
      <w:r>
        <w:rPr>
          <w:i/>
          <w:lang w:val="id_ID" w:bidi="id_ID"/>
        </w:rPr>
        <w:t>Mazmur Taurat</w:t>
      </w:r>
      <w:r>
        <w:rPr>
          <w:lang w:val="id_ID" w:bidi="id_ID"/>
        </w:rPr>
        <w:t xml:space="preserve"> (</w:t>
      </w:r>
      <w:r>
        <w:rPr>
          <w:lang w:val="id_ID" w:bidi="id_ID"/>
        </w:rPr>
        <w:t>Mzm. 119</w:t>
      </w:r>
      <w:r>
        <w:rPr>
          <w:lang w:val="id_ID" w:bidi="id_ID"/>
        </w:rPr>
        <w:t xml:space="preserve">); </w:t>
      </w:r>
      <w:r>
        <w:rPr>
          <w:i/>
          <w:lang w:val="id_ID" w:bidi="id_ID"/>
        </w:rPr>
        <w:t>Hallel Agung</w:t>
      </w:r>
      <w:r>
        <w:rPr>
          <w:lang w:val="id_ID" w:bidi="id_ID"/>
        </w:rPr>
        <w:t xml:space="preserve"> (</w:t>
      </w:r>
      <w:r>
        <w:rPr>
          <w:lang w:val="id_ID" w:bidi="id_ID"/>
        </w:rPr>
        <w:t>Mzm. 120–136</w:t>
      </w:r>
      <w:r>
        <w:rPr>
          <w:lang w:val="id_ID" w:bidi="id_ID"/>
        </w:rPr>
        <w:t xml:space="preserve">), yang mencakup </w:t>
      </w:r>
      <w:r>
        <w:rPr>
          <w:i/>
          <w:lang w:val="id_ID" w:bidi="id_ID"/>
        </w:rPr>
        <w:t>Nyanyian Pendakian</w:t>
      </w:r>
      <w:r>
        <w:rPr>
          <w:lang w:val="id_ID" w:bidi="id_ID"/>
        </w:rPr>
        <w:t xml:space="preserve"> (</w:t>
      </w:r>
      <w:r>
        <w:rPr>
          <w:lang w:val="id_ID" w:bidi="id_ID"/>
        </w:rPr>
        <w:t>Mzm. 120–134</w:t>
      </w:r>
      <w:r>
        <w:rPr>
          <w:lang w:val="id_ID" w:bidi="id_ID"/>
        </w:rPr>
        <w:t>); delapan Mazmur Daud (</w:t>
      </w:r>
      <w:r>
        <w:rPr>
          <w:lang w:val="id_ID" w:bidi="id_ID"/>
        </w:rPr>
        <w:t>Mzm. 138–145</w:t>
      </w:r>
      <w:r>
        <w:rPr>
          <w:lang w:val="id_ID" w:bidi="id_ID"/>
        </w:rPr>
        <w:t>); dan lima himne pujian penutup (</w:t>
      </w:r>
      <w:r>
        <w:rPr>
          <w:lang w:val="id_ID" w:bidi="id_ID"/>
        </w:rPr>
        <w:t>Mzm. 146–150</w:t>
      </w:r>
      <w:r>
        <w:rPr>
          <w:lang w:val="id_ID" w:bidi="id_ID"/>
        </w:rPr>
        <w:t>). Kitab Lima menggambarkan perkembangan tematik penderitaan, ratapan, penyelamatan Allah, dan pujian. Mazmur pembuka (</w:t>
      </w:r>
      <w:r>
        <w:rPr>
          <w:lang w:val="id_ID" w:bidi="id_ID"/>
        </w:rPr>
        <w:t>Mzm. 107</w:t>
      </w:r>
      <w:r>
        <w:rPr>
          <w:lang w:val="id_ID" w:bidi="id_ID"/>
        </w:rPr>
        <w:t>) memulai pola ini, dan ayat terakhirnya (</w:t>
      </w:r>
      <w:r>
        <w:rPr>
          <w:lang w:val="id_ID" w:bidi="id_ID"/>
        </w:rPr>
        <w:t>Mzm. 107:43</w:t>
      </w:r>
      <w:r>
        <w:rPr>
          <w:lang w:val="id_ID" w:bidi="id_ID"/>
        </w:rPr>
        <w:t xml:space="preserve">) menekankan pentingnya kebijaksanaan dalam memahami cara-cara Allah. </w:t>
      </w:r>
      <w:r>
        <w:rPr>
          <w:lang w:val="id_ID" w:bidi="id_ID"/>
        </w:rPr>
        <w:t>Mazmur 119</w:t>
      </w:r>
      <w:r>
        <w:rPr>
          <w:lang w:val="id_ID" w:bidi="id_ID"/>
        </w:rPr>
        <w:t>, mazmur terpanjang, merayakan kebijaksanaan dan firman Allah. Mazmur yang menggambarkan pemeliharaan historis Tuhan untuk Israel di padang gurun (</w:t>
      </w:r>
      <w:r>
        <w:rPr>
          <w:lang w:val="id_ID" w:bidi="id_ID"/>
        </w:rPr>
        <w:t>Mzm. 114–118</w:t>
      </w:r>
      <w:r>
        <w:rPr>
          <w:lang w:val="id_ID" w:bidi="id_ID"/>
        </w:rPr>
        <w:t xml:space="preserve">; </w:t>
      </w:r>
      <w:r>
        <w:rPr>
          <w:lang w:val="id_ID" w:bidi="id_ID"/>
        </w:rPr>
        <w:t>135–136</w:t>
      </w:r>
      <w:r>
        <w:rPr>
          <w:lang w:val="id_ID" w:bidi="id_ID"/>
        </w:rPr>
        <w:t>) mempersiapkan Israel dalam masa pembuangan dan pasca-pembuangan untuk membaca doa-doa terakhir Daud (</w:t>
      </w:r>
      <w:r>
        <w:rPr>
          <w:lang w:val="id_ID" w:bidi="id_ID"/>
        </w:rPr>
        <w:t>Mzm. 138–145</w:t>
      </w:r>
      <w:r>
        <w:rPr>
          <w:lang w:val="id_ID" w:bidi="id_ID"/>
        </w:rPr>
        <w:t>) dengan perspektif baru: Daud menantikan kerajaan Allah (</w:t>
      </w:r>
      <w:r>
        <w:rPr>
          <w:lang w:val="id_ID" w:bidi="id_ID"/>
        </w:rPr>
        <w:t>Mzm. 145</w:t>
      </w:r>
      <w:r>
        <w:rPr>
          <w:lang w:val="id_ID" w:bidi="id_ID"/>
        </w:rPr>
        <w:t>). Mazmur pujian menegaskan harapan ini (</w:t>
      </w:r>
      <w:r>
        <w:rPr>
          <w:lang w:val="id_ID" w:bidi="id_ID"/>
        </w:rPr>
        <w:t>Mzm. 146–150</w:t>
      </w:r>
      <w:r>
        <w:rPr>
          <w:lang w:val="id_ID" w:bidi="id_ID"/>
        </w:rPr>
        <w:t>).</w:t>
      </w:r>
    </w:p>
    <w:p>
      <w:pPr>
        <w:pStyle w:val="ListNumber"/>
        <w:spacing w:line="240" w:lineRule="auto"/>
        <w:ind w:left="720"/>
      </w:pPr>
      <w:r>
        <w:rPr>
          <w:lang w:val="id_ID" w:bidi="id_ID"/>
        </w:rPr>
      </w:r>
      <w:r>
        <w:rPr>
          <w:lang w:val="id_ID" w:bidi="id_ID"/>
        </w:rPr>
        <w:t>Tampaknya ada penambahan pada mazmur yang sudah ada. Hal ini mungkin menjelaskan doa untuk pemulihan Sion (</w:t>
      </w:r>
      <w:r>
        <w:rPr>
          <w:lang w:val="id_ID" w:bidi="id_ID"/>
        </w:rPr>
        <w:t>Mzm. 51:18–19</w:t>
      </w:r>
      <w:r>
        <w:rPr>
          <w:lang w:val="id_ID" w:bidi="id_ID"/>
        </w:rPr>
        <w:t>) dan untuk berkat Allah atas Yerusalem (</w:t>
      </w:r>
      <w:r>
        <w:rPr>
          <w:lang w:val="id_ID" w:bidi="id_ID"/>
        </w:rPr>
        <w:t>Mzm. 69:34–36</w:t>
      </w:r>
      <w:r>
        <w:rPr>
          <w:lang w:val="id_ID" w:bidi="id_ID"/>
        </w:rPr>
        <w:t>). Perubahan keadaan mungkin telah menyebabkan penambahan bait baru.</w:t>
      </w:r>
    </w:p>
    <w:p>
      <w:pPr>
        <w:pStyle w:val="ListNumber"/>
        <w:spacing w:line="240" w:lineRule="auto"/>
        <w:ind w:left="720"/>
      </w:pPr>
      <w:r>
        <w:rPr>
          <w:lang w:val="id_ID" w:bidi="id_ID"/>
        </w:rPr>
      </w:r>
      <w:r>
        <w:rPr>
          <w:lang w:val="id_ID" w:bidi="id_ID"/>
        </w:rPr>
        <w:t xml:space="preserve">Naskah yang ada menunjukkan fleksibilitas dalam organisasi dan judul Kitab Mazmur. Baik edisi Ibrani maupun Yunani dari Kitab Mazmur berisi 150 Mazmur, tetapi dengan pembagian dan penomoran yang berbeda serta perbedaan mengenai mazmur mana yang memiliki judul. Teks Yunani menggabungkan </w:t>
      </w:r>
      <w:r>
        <w:rPr>
          <w:lang w:val="id_ID" w:bidi="id_ID"/>
        </w:rPr>
        <w:t>Mazmur 9</w:t>
      </w:r>
      <w:r>
        <w:rPr>
          <w:lang w:val="id_ID" w:bidi="id_ID"/>
        </w:rPr>
        <w:t xml:space="preserve"> dan </w:t>
      </w:r>
      <w:r>
        <w:rPr>
          <w:lang w:val="id_ID" w:bidi="id_ID"/>
        </w:rPr>
        <w:t>10</w:t>
      </w:r>
      <w:r>
        <w:rPr>
          <w:lang w:val="id_ID" w:bidi="id_ID"/>
        </w:rPr>
        <w:t xml:space="preserve"> serta </w:t>
      </w:r>
      <w:r>
        <w:rPr>
          <w:lang w:val="id_ID" w:bidi="id_ID"/>
        </w:rPr>
        <w:t>Mazmur 114</w:t>
      </w:r>
      <w:r>
        <w:rPr>
          <w:lang w:val="id_ID" w:bidi="id_ID"/>
        </w:rPr>
        <w:t xml:space="preserve"> dan </w:t>
      </w:r>
      <w:r>
        <w:rPr>
          <w:lang w:val="id_ID" w:bidi="id_ID"/>
        </w:rPr>
        <w:t>115</w:t>
      </w:r>
      <w:r>
        <w:rPr>
          <w:lang w:val="id_ID" w:bidi="id_ID"/>
        </w:rPr>
        <w:t xml:space="preserve"> menjadi satu mazmur masing-masing, tetapi membagi </w:t>
      </w:r>
      <w:r>
        <w:rPr>
          <w:lang w:val="id_ID" w:bidi="id_ID"/>
        </w:rPr>
        <w:t>Mazmur 116</w:t>
      </w:r>
      <w:r>
        <w:rPr>
          <w:lang w:val="id_ID" w:bidi="id_ID"/>
        </w:rPr>
        <w:t xml:space="preserve"> dan </w:t>
      </w:r>
      <w:r>
        <w:rPr>
          <w:lang w:val="id_ID" w:bidi="id_ID"/>
        </w:rPr>
        <w:t>147</w:t>
      </w:r>
      <w:r>
        <w:rPr>
          <w:lang w:val="id_ID" w:bidi="id_ID"/>
        </w:rPr>
        <w:t xml:space="preserve"> menjadi dua. Perbedaan antara penomoran Ibrani dan Indonesia ditunjukkan dalam catatan.</w:t>
      </w:r>
    </w:p>
    <w:p>
      <w:pPr/>
      <w:r>
        <w:rPr>
          <w:lang w:val="id_ID" w:bidi="id_ID"/>
        </w:rPr>
      </w:r>
      <w:r>
        <w:rPr>
          <w:lang w:val="id_ID" w:bidi="id_ID"/>
        </w:rPr>
        <w:t xml:space="preserve">Pada zaman Yesus, Kitab Mazmur yang terkumpul sudah dikenal dengan baik (lihat </w:t>
      </w:r>
      <w:r>
        <w:rPr>
          <w:lang w:val="id_ID" w:bidi="id_ID"/>
        </w:rPr>
        <w:t>Lukas 20:42</w:t>
      </w:r>
      <w:r>
        <w:rPr>
          <w:lang w:val="id_ID" w:bidi="id_ID"/>
        </w:rPr>
        <w:t xml:space="preserve">; </w:t>
      </w:r>
      <w:r>
        <w:rPr>
          <w:lang w:val="id_ID" w:bidi="id_ID"/>
        </w:rPr>
        <w:t>Kisah Para Rasul 1:20</w:t>
      </w:r>
      <w:r>
        <w:rPr>
          <w:lang w:val="id_ID" w:bidi="id_ID"/>
        </w:rPr>
        <w:t xml:space="preserve">). Kitab Mazmur ini merupakan bagian dari bagian ketiga kanon Ibrani, yang disebut Tulisan (lihat </w:t>
      </w:r>
      <w:r>
        <w:rPr>
          <w:lang w:val="id_ID" w:bidi="id_ID"/>
        </w:rPr>
        <w:t>Lukas 24:44</w:t>
      </w:r>
      <w:r>
        <w:rPr>
          <w:lang w:val="id_ID" w:bidi="id_ID"/>
        </w:rPr>
        <w:t>).</w:t>
      </w:r>
    </w:p>
    <w:p>
      <w:pPr>
        <w:pStyle w:val="Heading2"/>
      </w:pPr>
      <w:r>
        <w:rPr>
          <w:lang w:val="id_ID" w:bidi="id_ID"/>
        </w:rPr>
        <w:t>Penulisan</w:t>
      </w:r>
    </w:p>
    <w:p>
      <w:pPr/>
      <w:r>
        <w:rPr>
          <w:lang w:val="id_ID" w:bidi="id_ID"/>
        </w:rPr>
      </w:r>
      <w:r>
        <w:rPr>
          <w:lang w:val="id_ID" w:bidi="id_ID"/>
        </w:rPr>
        <w:t>Banyak penulisan Kitab Mazmur dikaitkan dengan Daud, tetapi tidak semuanya; sebenarnya, kurang dari setengahnya secara eksplisit terhubung dengannya. Kitab Mazmur lainnya dikaitkan dengan Asaf (</w:t>
      </w:r>
      <w:r>
        <w:rPr>
          <w:lang w:val="id_ID" w:bidi="id_ID"/>
        </w:rPr>
        <w:t>Mzm. 50</w:t>
      </w:r>
      <w:r>
        <w:rPr>
          <w:lang w:val="id_ID" w:bidi="id_ID"/>
        </w:rPr>
        <w:t xml:space="preserve">; </w:t>
      </w:r>
      <w:r>
        <w:rPr>
          <w:lang w:val="id_ID" w:bidi="id_ID"/>
        </w:rPr>
        <w:t>73–83</w:t>
      </w:r>
      <w:r>
        <w:rPr>
          <w:lang w:val="id_ID" w:bidi="id_ID"/>
        </w:rPr>
        <w:t>), keturunan Korah (</w:t>
      </w:r>
      <w:r>
        <w:rPr>
          <w:lang w:val="id_ID" w:bidi="id_ID"/>
        </w:rPr>
        <w:t>Mzm. 42–49</w:t>
      </w:r>
      <w:r>
        <w:rPr>
          <w:lang w:val="id_ID" w:bidi="id_ID"/>
        </w:rPr>
        <w:t xml:space="preserve">; </w:t>
      </w:r>
      <w:r>
        <w:rPr>
          <w:lang w:val="id_ID" w:bidi="id_ID"/>
        </w:rPr>
        <w:t>84–85</w:t>
      </w:r>
      <w:r>
        <w:rPr>
          <w:lang w:val="id_ID" w:bidi="id_ID"/>
        </w:rPr>
        <w:t xml:space="preserve">; </w:t>
      </w:r>
      <w:r>
        <w:rPr>
          <w:lang w:val="id_ID" w:bidi="id_ID"/>
        </w:rPr>
        <w:t>87</w:t>
      </w:r>
      <w:r>
        <w:rPr>
          <w:lang w:val="id_ID" w:bidi="id_ID"/>
        </w:rPr>
        <w:t>), Salomo (</w:t>
      </w:r>
      <w:r>
        <w:rPr>
          <w:lang w:val="id_ID" w:bidi="id_ID"/>
        </w:rPr>
        <w:t>Mzm. 72</w:t>
      </w:r>
      <w:r>
        <w:rPr>
          <w:lang w:val="id_ID" w:bidi="id_ID"/>
        </w:rPr>
        <w:t xml:space="preserve">; </w:t>
      </w:r>
      <w:r>
        <w:rPr>
          <w:lang w:val="id_ID" w:bidi="id_ID"/>
        </w:rPr>
        <w:t>127</w:t>
      </w:r>
      <w:r>
        <w:rPr>
          <w:lang w:val="id_ID" w:bidi="id_ID"/>
        </w:rPr>
        <w:t>), Heman (</w:t>
      </w:r>
      <w:r>
        <w:rPr>
          <w:lang w:val="id_ID" w:bidi="id_ID"/>
        </w:rPr>
        <w:t>Mzm. 88</w:t>
      </w:r>
      <w:r>
        <w:rPr>
          <w:lang w:val="id_ID" w:bidi="id_ID"/>
        </w:rPr>
        <w:t>), Etan (</w:t>
      </w:r>
      <w:r>
        <w:rPr>
          <w:lang w:val="id_ID" w:bidi="id_ID"/>
        </w:rPr>
        <w:t>Mzm. 89</w:t>
      </w:r>
      <w:r>
        <w:rPr>
          <w:lang w:val="id_ID" w:bidi="id_ID"/>
        </w:rPr>
        <w:t>), dan Musa (</w:t>
      </w:r>
      <w:r>
        <w:rPr>
          <w:lang w:val="id_ID" w:bidi="id_ID"/>
        </w:rPr>
        <w:t>Mzm. 90</w:t>
      </w:r>
      <w:r>
        <w:rPr>
          <w:lang w:val="id_ID" w:bidi="id_ID"/>
        </w:rPr>
        <w:t>).</w:t>
      </w:r>
    </w:p>
    <w:p>
      <w:pPr/>
      <w:r>
        <w:rPr>
          <w:lang w:val="id_ID" w:bidi="id_ID"/>
        </w:rPr>
      </w:r>
      <w:r>
        <w:rPr>
          <w:lang w:val="id_ID" w:bidi="id_ID"/>
        </w:rPr>
        <w:t>Dari 116 mazmur yang memiliki judul, sebagian besar mengidentifikasi seseorang yang terkait dengan mazmur tersebut. Orang yang disebutkan mungkin adalah penulisnya, tetapi tidak selalu demikian. Preposisi Ibrani "le" sebelum nama (sering diterjemahkan "dari") juga dapat berarti "untuk," "didedikasikan kepada," "mengenai," "kepada," atau "oleh." Jadi, "ledawid" (sering diterjemahkan "dari Daud") bisa diartikan sebagai "untuk Daud," "didedikasikan kepada Daud," "mengenai Daud," atau "oleh Daud." Meskipun banyak Mazmur "dari Daud" mungkin ditulis olehnya, ada beberapa alasan untuk berhati-hati. Judulnya kadang-kadang memiliki dua nama, seperti Daud dan Yedutun atau Asaf (</w:t>
      </w:r>
      <w:r>
        <w:rPr>
          <w:lang w:val="id_ID" w:bidi="id_ID"/>
        </w:rPr>
        <w:t>Mzm. 39</w:t>
      </w:r>
      <w:r>
        <w:rPr>
          <w:lang w:val="id_ID" w:bidi="id_ID"/>
        </w:rPr>
        <w:t xml:space="preserve">, </w:t>
      </w:r>
      <w:r>
        <w:rPr>
          <w:lang w:val="id_ID" w:bidi="id_ID"/>
        </w:rPr>
        <w:t>62</w:t>
      </w:r>
      <w:r>
        <w:rPr>
          <w:lang w:val="id_ID" w:bidi="id_ID"/>
        </w:rPr>
        <w:t xml:space="preserve">, </w:t>
      </w:r>
      <w:r>
        <w:rPr>
          <w:lang w:val="id_ID" w:bidi="id_ID"/>
        </w:rPr>
        <w:t>77</w:t>
      </w:r>
      <w:r>
        <w:rPr>
          <w:lang w:val="id_ID" w:bidi="id_ID"/>
        </w:rPr>
        <w:t>). Mungkin saja individu lain adalah penulis sebenarnya dari mazmur tersebut. Selain itu, Mazmur yang judulnya menghubungkan mereka dengan episode kehidupan Daud (</w:t>
      </w:r>
      <w:r>
        <w:rPr>
          <w:lang w:val="id_ID" w:bidi="id_ID"/>
        </w:rPr>
        <w:t>Mzm. 3</w:t>
      </w:r>
      <w:r>
        <w:rPr>
          <w:lang w:val="id_ID" w:bidi="id_ID"/>
        </w:rPr>
        <w:t xml:space="preserve">, </w:t>
      </w:r>
      <w:r>
        <w:rPr>
          <w:lang w:val="id_ID" w:bidi="id_ID"/>
        </w:rPr>
        <w:t>7</w:t>
      </w:r>
      <w:r>
        <w:rPr>
          <w:lang w:val="id_ID" w:bidi="id_ID"/>
        </w:rPr>
        <w:t xml:space="preserve">, </w:t>
      </w:r>
      <w:r>
        <w:rPr>
          <w:lang w:val="id_ID" w:bidi="id_ID"/>
        </w:rPr>
        <w:t>18</w:t>
      </w:r>
      <w:r>
        <w:rPr>
          <w:lang w:val="id_ID" w:bidi="id_ID"/>
        </w:rPr>
        <w:t xml:space="preserve">, </w:t>
      </w:r>
      <w:r>
        <w:rPr>
          <w:lang w:val="id_ID" w:bidi="id_ID"/>
        </w:rPr>
        <w:t>34</w:t>
      </w:r>
      <w:r>
        <w:rPr>
          <w:lang w:val="id_ID" w:bidi="id_ID"/>
        </w:rPr>
        <w:t xml:space="preserve">, </w:t>
      </w:r>
      <w:r>
        <w:rPr>
          <w:lang w:val="id_ID" w:bidi="id_ID"/>
        </w:rPr>
        <w:t>51</w:t>
      </w:r>
      <w:r>
        <w:rPr>
          <w:lang w:val="id_ID" w:bidi="id_ID"/>
        </w:rPr>
        <w:t xml:space="preserve">, </w:t>
      </w:r>
      <w:r>
        <w:rPr>
          <w:lang w:val="id_ID" w:bidi="id_ID"/>
        </w:rPr>
        <w:t>52</w:t>
      </w:r>
      <w:r>
        <w:rPr>
          <w:lang w:val="id_ID" w:bidi="id_ID"/>
        </w:rPr>
        <w:t xml:space="preserve">, </w:t>
      </w:r>
      <w:r>
        <w:rPr>
          <w:lang w:val="id_ID" w:bidi="id_ID"/>
        </w:rPr>
        <w:t>54</w:t>
      </w:r>
      <w:r>
        <w:rPr>
          <w:lang w:val="id_ID" w:bidi="id_ID"/>
        </w:rPr>
        <w:t xml:space="preserve">, </w:t>
      </w:r>
      <w:r>
        <w:rPr>
          <w:lang w:val="id_ID" w:bidi="id_ID"/>
        </w:rPr>
        <w:t>56</w:t>
      </w:r>
      <w:r>
        <w:rPr>
          <w:lang w:val="id_ID" w:bidi="id_ID"/>
        </w:rPr>
        <w:t xml:space="preserve">, </w:t>
      </w:r>
      <w:r>
        <w:rPr>
          <w:lang w:val="id_ID" w:bidi="id_ID"/>
        </w:rPr>
        <w:t>57</w:t>
      </w:r>
      <w:r>
        <w:rPr>
          <w:lang w:val="id_ID" w:bidi="id_ID"/>
        </w:rPr>
        <w:t xml:space="preserve">, </w:t>
      </w:r>
      <w:r>
        <w:rPr>
          <w:lang w:val="id_ID" w:bidi="id_ID"/>
        </w:rPr>
        <w:t>59</w:t>
      </w:r>
      <w:r>
        <w:rPr>
          <w:lang w:val="id_ID" w:bidi="id_ID"/>
        </w:rPr>
        <w:t xml:space="preserve">, </w:t>
      </w:r>
      <w:r>
        <w:rPr>
          <w:lang w:val="id_ID" w:bidi="id_ID"/>
        </w:rPr>
        <w:t>60</w:t>
      </w:r>
      <w:r>
        <w:rPr>
          <w:lang w:val="id_ID" w:bidi="id_ID"/>
        </w:rPr>
        <w:t xml:space="preserve">, </w:t>
      </w:r>
      <w:r>
        <w:rPr>
          <w:lang w:val="id_ID" w:bidi="id_ID"/>
        </w:rPr>
        <w:t>63</w:t>
      </w:r>
      <w:r>
        <w:rPr>
          <w:lang w:val="id_ID" w:bidi="id_ID"/>
        </w:rPr>
        <w:t xml:space="preserve">, </w:t>
      </w:r>
      <w:r>
        <w:rPr>
          <w:lang w:val="id_ID" w:bidi="id_ID"/>
        </w:rPr>
        <w:t>142</w:t>
      </w:r>
      <w:r>
        <w:rPr>
          <w:lang w:val="id_ID" w:bidi="id_ID"/>
        </w:rPr>
        <w:t xml:space="preserve">) memberikan sedikit atau tidak ada hubungan spesifik dengan episode tersebut. Misalnya, judul dalam </w:t>
      </w:r>
      <w:r>
        <w:rPr>
          <w:lang w:val="id_ID" w:bidi="id_ID"/>
        </w:rPr>
        <w:t>Mazmur 51</w:t>
      </w:r>
      <w:r>
        <w:rPr>
          <w:lang w:val="id_ID" w:bidi="id_ID"/>
        </w:rPr>
        <w:t xml:space="preserve"> menghubungkan mazmur dengan dosa Daud dan teguran Natan. Mazmur tersebut berbicara tentang dosa, pengampunan, dan semangat yang hancur, tetapi rincian situasinya sangat kurang. Selain itu, beberapa Mazmur "dari Daud" tampaknya mengasumsikan keberadaan Bait Suci, yang tidak dibangun sampai setelah kematian Daud (lihat </w:t>
      </w:r>
      <w:r>
        <w:rPr>
          <w:lang w:val="id_ID" w:bidi="id_ID"/>
        </w:rPr>
        <w:t>Mzm. 5:7</w:t>
      </w:r>
      <w:r>
        <w:rPr>
          <w:lang w:val="id_ID" w:bidi="id_ID"/>
        </w:rPr>
        <w:t xml:space="preserve">; </w:t>
      </w:r>
      <w:r>
        <w:rPr>
          <w:lang w:val="id_ID" w:bidi="id_ID"/>
        </w:rPr>
        <w:t>122:judul</w:t>
      </w:r>
      <w:r>
        <w:rPr>
          <w:lang w:val="id_ID" w:bidi="id_ID"/>
        </w:rPr>
        <w:t xml:space="preserve">; </w:t>
      </w:r>
      <w:r>
        <w:rPr>
          <w:lang w:val="id_ID" w:bidi="id_ID"/>
        </w:rPr>
        <w:t>138:2</w:t>
      </w:r>
      <w:r>
        <w:rPr>
          <w:lang w:val="id_ID" w:bidi="id_ID"/>
        </w:rPr>
        <w:t xml:space="preserve">). Demikian pula, judul </w:t>
      </w:r>
      <w:r>
        <w:rPr>
          <w:lang w:val="id_ID" w:bidi="id_ID"/>
        </w:rPr>
        <w:t>Mazmur 30</w:t>
      </w:r>
      <w:r>
        <w:rPr>
          <w:lang w:val="id_ID" w:bidi="id_ID"/>
        </w:rPr>
        <w:t xml:space="preserve"> menghubungkan Daud dengan dedikasi Bait Suci, dan </w:t>
      </w:r>
      <w:r>
        <w:rPr>
          <w:lang w:val="id_ID" w:bidi="id_ID"/>
        </w:rPr>
        <w:t>Mazmur 69</w:t>
      </w:r>
      <w:r>
        <w:rPr>
          <w:lang w:val="id_ID" w:bidi="id_ID"/>
        </w:rPr>
        <w:t xml:space="preserve"> tampaknya tidak sesuai dengan apa yang diketahui tentang kehidupan Daud. Akhirnya, beberapa tradisi tekstual bervariasi dalam penyebutan Daud di judul (misalnya, </w:t>
      </w:r>
      <w:r>
        <w:rPr>
          <w:lang w:val="id_ID" w:bidi="id_ID"/>
        </w:rPr>
        <w:t>Mzm. 122</w:t>
      </w:r>
      <w:r>
        <w:rPr>
          <w:lang w:val="id_ID" w:bidi="id_ID"/>
        </w:rPr>
        <w:t xml:space="preserve">, </w:t>
      </w:r>
      <w:r>
        <w:rPr>
          <w:lang w:val="id_ID" w:bidi="id_ID"/>
        </w:rPr>
        <w:t>124</w:t>
      </w:r>
      <w:r>
        <w:rPr>
          <w:lang w:val="id_ID" w:bidi="id_ID"/>
        </w:rPr>
        <w:t>). Oleh karena itu, mungkin "ledawid" harus dipahami dalam banyak kasus sebagai berarti "untuk/didedikasikan kepada/mengenai Daud" daripada "oleh Daud." Mazmur semacam itu membangkitkan persona Daud sebagai perwakilan utama dinasti tanpa menyiratkan bahwa dia sendiri adalah penulisnya. Namun, ada banyak Mazmur yang mungkin telah ditulis oleh Daud.</w:t>
      </w:r>
    </w:p>
    <w:p>
      <w:pPr>
        <w:pStyle w:val="Heading2"/>
      </w:pPr>
      <w:r>
        <w:rPr>
          <w:lang w:val="id_ID" w:bidi="id_ID"/>
        </w:rPr>
        <w:t>Permasalahan dalam Kesastraan</w:t>
      </w:r>
    </w:p>
    <w:p>
      <w:pPr/>
      <w:r>
        <w:rPr>
          <w:lang w:val="id_ID" w:bidi="id_ID"/>
        </w:rPr>
      </w:r>
      <w:r>
        <w:rPr>
          <w:lang w:val="id_ID" w:bidi="id_ID"/>
        </w:rPr>
        <w:t xml:space="preserve">Kata </w:t>
      </w:r>
      <w:r>
        <w:rPr>
          <w:i/>
          <w:lang w:val="id_ID" w:bidi="id_ID"/>
        </w:rPr>
        <w:t>Mazmur</w:t>
      </w:r>
      <w:r>
        <w:rPr>
          <w:lang w:val="id_ID" w:bidi="id_ID"/>
        </w:rPr>
        <w:t xml:space="preserve"> berasal dari bahasa Yunani psalmos (“lagu”; lihat </w:t>
      </w:r>
      <w:r>
        <w:rPr>
          <w:lang w:val="id_ID" w:bidi="id_ID"/>
        </w:rPr>
        <w:t>Lukas 20:42</w:t>
      </w:r>
      <w:r>
        <w:rPr>
          <w:lang w:val="id_ID" w:bidi="id_ID"/>
        </w:rPr>
        <w:t xml:space="preserve">; </w:t>
      </w:r>
      <w:r>
        <w:rPr>
          <w:lang w:val="id_ID" w:bidi="id_ID"/>
        </w:rPr>
        <w:t>24:44</w:t>
      </w:r>
      <w:r>
        <w:rPr>
          <w:lang w:val="id_ID" w:bidi="id_ID"/>
        </w:rPr>
        <w:t xml:space="preserve">), yang merupakan terjemahan dari bahasa Ibrani mizmor, sebuah kata yang sering ditemukan dalam judul Mazmur individu (misalnya, lihat </w:t>
      </w:r>
      <w:r>
        <w:rPr>
          <w:lang w:val="id_ID" w:bidi="id_ID"/>
        </w:rPr>
        <w:t>Mzm. 3:judul</w:t>
      </w:r>
      <w:r>
        <w:rPr>
          <w:lang w:val="id_ID" w:bidi="id_ID"/>
        </w:rPr>
        <w:t>, diterjemahkan sebagai “mazmur”). Kata mizmor berhubungan dengan kata kerja yang berarti “memainkan alat musik bersenar.” Mazmur awalnya diiringi oleh alat musik dan merupakan bagian dari tradisi lisan Israel sebelum dikumpulkan. Judul Ibrani dari Kitab Mazmur adalah tehillim (“pujian”), sebuah kata yang berhubungan dengan hallelujah (“puji Yahweh”).</w:t>
      </w:r>
    </w:p>
    <w:p>
      <w:pPr/>
      <w:r>
        <w:rPr>
          <w:lang w:val="id_ID" w:bidi="id_ID"/>
        </w:rPr>
      </w:r>
      <w:r>
        <w:rPr>
          <w:lang w:val="id_ID" w:bidi="id_ID"/>
        </w:rPr>
        <w:t>Judul Mazmur. Superskripsi singkat yang menyertai sebagian besar Mazmur memberikan informasi seperti penulis, jenis mazmur (misalnya, nyanyian, doa), notasi musik, penggunaan mazmur, konteks sejarah, atau dedikasi. Banyak dari informasi tersebut tidak sepenuhnya dipahami, sehingga banyak ahli tidak terlalu menekankan judul mazmur dalam penafsiran mereka.</w:t>
      </w:r>
    </w:p>
    <w:p>
      <w:pPr/>
      <w:r>
        <w:rPr>
          <w:lang w:val="id_ID" w:bidi="id_ID"/>
        </w:rPr>
      </w:r>
      <w:r>
        <w:rPr>
          <w:lang w:val="id_ID" w:bidi="id_ID"/>
        </w:rPr>
        <w:t>Dalam edisi Ibrani, judul mazmur biasanya diberi nomor sebagai ayat 1. Akibatnya, penomoran ayat untuk banyak Mazmur secara keseluruhan berbeda satu angka dari sebagian besar terjemahan Indonesia.</w:t>
      </w:r>
    </w:p>
    <w:p>
      <w:pPr/>
      <w:r>
        <w:rPr>
          <w:lang w:val="id_ID" w:bidi="id_ID"/>
        </w:rPr>
      </w:r>
      <w:r>
        <w:rPr>
          <w:lang w:val="id_ID" w:bidi="id_ID"/>
        </w:rPr>
        <w:t xml:space="preserve">Selingan (Ibrani Sela). Kata ini ditemukan di seluruh Kitab Mazmur. Arti kata ini tidak pasti, meskipun kemungkinan besar merupakan istilah musik atau sastra. Dalam NLT, kata ini secara konsisten diterjemahkan sebagai </w:t>
      </w:r>
      <w:r>
        <w:rPr>
          <w:i/>
          <w:lang w:val="id_ID" w:bidi="id_ID"/>
        </w:rPr>
        <w:t>Selingan</w:t>
      </w:r>
      <w:r>
        <w:rPr>
          <w:lang w:val="id_ID" w:bidi="id_ID"/>
        </w:rPr>
        <w:t>.</w:t>
      </w:r>
    </w:p>
    <w:p>
      <w:pPr/>
      <w:r>
        <w:rPr>
          <w:lang w:val="id_ID" w:bidi="id_ID"/>
        </w:rPr>
      </w:r>
      <w:r>
        <w:rPr>
          <w:lang w:val="id_ID" w:bidi="id_ID"/>
        </w:rPr>
        <w:t>Pengelompokan Mazmur. Mazmur dapat dikelompokkan dengan beberapa cara:</w:t>
      </w:r>
    </w:p>
    <w:p>
      <w:pPr>
        <w:pStyle w:val="ListBullet"/>
        <w:spacing w:line="240" w:lineRule="auto"/>
        <w:ind w:left="720"/>
      </w:pPr>
      <w:r>
        <w:rPr>
          <w:lang w:val="id_ID" w:bidi="id_ID"/>
        </w:rPr>
      </w:r>
      <w:r>
        <w:rPr>
          <w:lang w:val="id_ID" w:bidi="id_ID"/>
        </w:rPr>
        <w:t xml:space="preserve">Dengan nama yang mereka gunakan untuk Allah: Yahweh (“Tuhan,” </w:t>
      </w:r>
      <w:r>
        <w:rPr>
          <w:lang w:val="id_ID" w:bidi="id_ID"/>
        </w:rPr>
        <w:t>Mzm. 1–41</w:t>
      </w:r>
      <w:r>
        <w:rPr>
          <w:lang w:val="id_ID" w:bidi="id_ID"/>
        </w:rPr>
        <w:t xml:space="preserve">) dan Elohim (“Allah,” </w:t>
      </w:r>
      <w:r>
        <w:rPr>
          <w:lang w:val="id_ID" w:bidi="id_ID"/>
        </w:rPr>
        <w:t>Mzm. 42–72</w:t>
      </w:r>
      <w:r>
        <w:rPr>
          <w:lang w:val="id_ID" w:bidi="id_ID"/>
        </w:rPr>
        <w:t>).</w:t>
      </w:r>
    </w:p>
    <w:p>
      <w:pPr>
        <w:pStyle w:val="ListBullet"/>
        <w:spacing w:line="240" w:lineRule="auto"/>
        <w:ind w:left="720"/>
      </w:pPr>
      <w:r>
        <w:rPr>
          <w:lang w:val="id_ID" w:bidi="id_ID"/>
        </w:rPr>
      </w:r>
      <w:r>
        <w:rPr>
          <w:lang w:val="id_ID" w:bidi="id_ID"/>
        </w:rPr>
        <w:t>Dengan nama-nama dalam judul: Daud (</w:t>
      </w:r>
      <w:r>
        <w:rPr>
          <w:lang w:val="id_ID" w:bidi="id_ID"/>
        </w:rPr>
        <w:t>Mzm. 3–32</w:t>
      </w:r>
      <w:r>
        <w:rPr>
          <w:lang w:val="id_ID" w:bidi="id_ID"/>
        </w:rPr>
        <w:t xml:space="preserve">; </w:t>
      </w:r>
      <w:r>
        <w:rPr>
          <w:lang w:val="id_ID" w:bidi="id_ID"/>
        </w:rPr>
        <w:t>34:1–41:13</w:t>
      </w:r>
      <w:r>
        <w:rPr>
          <w:lang w:val="id_ID" w:bidi="id_ID"/>
        </w:rPr>
        <w:t>, dll.), keturunan Korah (</w:t>
      </w:r>
      <w:r>
        <w:rPr>
          <w:lang w:val="id_ID" w:bidi="id_ID"/>
        </w:rPr>
        <w:t>Mzm. 42–49</w:t>
      </w:r>
      <w:r>
        <w:rPr>
          <w:lang w:val="id_ID" w:bidi="id_ID"/>
        </w:rPr>
        <w:t xml:space="preserve">; </w:t>
      </w:r>
      <w:r>
        <w:rPr>
          <w:lang w:val="id_ID" w:bidi="id_ID"/>
        </w:rPr>
        <w:t>84:1–85:13</w:t>
      </w:r>
      <w:r>
        <w:rPr>
          <w:lang w:val="id_ID" w:bidi="id_ID"/>
        </w:rPr>
        <w:t xml:space="preserve">; </w:t>
      </w:r>
      <w:r>
        <w:rPr>
          <w:lang w:val="id_ID" w:bidi="id_ID"/>
        </w:rPr>
        <w:t>87:1–88:18</w:t>
      </w:r>
      <w:r>
        <w:rPr>
          <w:lang w:val="id_ID" w:bidi="id_ID"/>
        </w:rPr>
        <w:t>), dan Asaf (</w:t>
      </w:r>
      <w:r>
        <w:rPr>
          <w:lang w:val="id_ID" w:bidi="id_ID"/>
        </w:rPr>
        <w:t>Mzm. 50</w:t>
      </w:r>
      <w:r>
        <w:rPr>
          <w:lang w:val="id_ID" w:bidi="id_ID"/>
        </w:rPr>
        <w:t xml:space="preserve">, </w:t>
      </w:r>
      <w:r>
        <w:rPr>
          <w:lang w:val="id_ID" w:bidi="id_ID"/>
        </w:rPr>
        <w:t>73–83</w:t>
      </w:r>
      <w:r>
        <w:rPr>
          <w:lang w:val="id_ID" w:bidi="id_ID"/>
        </w:rPr>
        <w:t>).</w:t>
      </w:r>
    </w:p>
    <w:p>
      <w:pPr>
        <w:pStyle w:val="ListBullet"/>
        <w:spacing w:line="240" w:lineRule="auto"/>
        <w:ind w:left="720"/>
      </w:pPr>
      <w:r>
        <w:rPr>
          <w:lang w:val="id_ID" w:bidi="id_ID"/>
        </w:rPr>
      </w:r>
      <w:r>
        <w:rPr>
          <w:lang w:val="id_ID" w:bidi="id_ID"/>
        </w:rPr>
        <w:t>Berdasarkan genre (lihat di bawah).</w:t>
      </w:r>
    </w:p>
    <w:p>
      <w:pPr>
        <w:pStyle w:val="ListBullet"/>
        <w:spacing w:line="240" w:lineRule="auto"/>
        <w:ind w:left="720"/>
      </w:pPr>
      <w:r>
        <w:rPr>
          <w:lang w:val="id_ID" w:bidi="id_ID"/>
        </w:rPr>
      </w:r>
      <w:r>
        <w:rPr>
          <w:lang w:val="id_ID" w:bidi="id_ID"/>
        </w:rPr>
        <w:t xml:space="preserve">Dengan koleksi yang sudah menjadi bagiannya: misalnya, </w:t>
      </w:r>
      <w:r>
        <w:rPr>
          <w:i/>
          <w:lang w:val="id_ID" w:bidi="id_ID"/>
        </w:rPr>
        <w:t>Songs of Ascents</w:t>
      </w:r>
      <w:r>
        <w:rPr>
          <w:lang w:val="id_ID" w:bidi="id_ID"/>
        </w:rPr>
        <w:t xml:space="preserve"> (</w:t>
      </w:r>
      <w:r>
        <w:rPr>
          <w:lang w:val="id_ID" w:bidi="id_ID"/>
        </w:rPr>
        <w:t>Mzm. 120–134</w:t>
      </w:r>
      <w:r>
        <w:rPr>
          <w:lang w:val="id_ID" w:bidi="id_ID"/>
        </w:rPr>
        <w:t xml:space="preserve">). Koleksi lain yang diakui dalam tradisi Yahudi, seperti </w:t>
      </w:r>
      <w:r>
        <w:rPr>
          <w:i/>
          <w:lang w:val="id_ID" w:bidi="id_ID"/>
        </w:rPr>
        <w:t>Egyptian Hallel</w:t>
      </w:r>
      <w:r>
        <w:rPr>
          <w:lang w:val="id_ID" w:bidi="id_ID"/>
        </w:rPr>
        <w:t xml:space="preserve"> (</w:t>
      </w:r>
      <w:r>
        <w:rPr>
          <w:lang w:val="id_ID" w:bidi="id_ID"/>
        </w:rPr>
        <w:t>Mzm. 113–118</w:t>
      </w:r>
      <w:r>
        <w:rPr>
          <w:lang w:val="id_ID" w:bidi="id_ID"/>
        </w:rPr>
        <w:t>) dan himne haleluya (</w:t>
      </w:r>
      <w:r>
        <w:rPr>
          <w:lang w:val="id_ID" w:bidi="id_ID"/>
        </w:rPr>
        <w:t>Mzm. 146–150</w:t>
      </w:r>
      <w:r>
        <w:rPr>
          <w:lang w:val="id_ID" w:bidi="id_ID"/>
        </w:rPr>
        <w:t>).</w:t>
      </w:r>
    </w:p>
    <w:p>
      <w:pPr>
        <w:pStyle w:val="ListBullet"/>
        <w:spacing w:line="240" w:lineRule="auto"/>
        <w:ind w:left="720"/>
      </w:pPr>
      <w:r>
        <w:rPr>
          <w:lang w:val="id_ID" w:bidi="id_ID"/>
        </w:rPr>
      </w:r>
      <w:r>
        <w:rPr>
          <w:lang w:val="id_ID" w:bidi="id_ID"/>
        </w:rPr>
        <w:t>Dengan koneksi tematik: misalnya, Kerajaan Allah (</w:t>
      </w:r>
      <w:r>
        <w:rPr>
          <w:lang w:val="id_ID" w:bidi="id_ID"/>
        </w:rPr>
        <w:t>Mzm. 93–100</w:t>
      </w:r>
      <w:r>
        <w:rPr>
          <w:lang w:val="id_ID" w:bidi="id_ID"/>
        </w:rPr>
        <w:t>), atau alur cerita dari penciptaan hingga pembuangan (</w:t>
      </w:r>
      <w:r>
        <w:rPr>
          <w:lang w:val="id_ID" w:bidi="id_ID"/>
        </w:rPr>
        <w:t>Mzm. 104–106</w:t>
      </w:r>
      <w:r>
        <w:rPr>
          <w:lang w:val="id_ID" w:bidi="id_ID"/>
        </w:rPr>
        <w:t>).</w:t>
      </w:r>
    </w:p>
    <w:p>
      <w:pPr/>
      <w:r>
        <w:rPr>
          <w:lang w:val="id_ID" w:bidi="id_ID"/>
        </w:rPr>
      </w:r>
      <w:r>
        <w:rPr>
          <w:lang w:val="id_ID" w:bidi="id_ID"/>
        </w:rPr>
        <w:t xml:space="preserve">Genre Mazmur. Judul-judul mazmur sering kali menunjukkan genre dari sebuah mazmur. Penunjukan genre yang paling umum dalam judul adalah istilah Ibrani mizmor, yang merujuk pada lagu yang awalnya diiringi oleh alat musik petik. Lebih jarang ditemukan adalah kata-kata maskil (berarti “mazmur” atau “nyanyian”: </w:t>
      </w:r>
      <w:r>
        <w:rPr>
          <w:lang w:val="id_ID" w:bidi="id_ID"/>
        </w:rPr>
        <w:t>Mzm. 32</w:t>
      </w:r>
      <w:r>
        <w:rPr>
          <w:lang w:val="id_ID" w:bidi="id_ID"/>
        </w:rPr>
        <w:t xml:space="preserve">; </w:t>
      </w:r>
      <w:r>
        <w:rPr>
          <w:lang w:val="id_ID" w:bidi="id_ID"/>
        </w:rPr>
        <w:t>42</w:t>
      </w:r>
      <w:r>
        <w:rPr>
          <w:lang w:val="id_ID" w:bidi="id_ID"/>
        </w:rPr>
        <w:t xml:space="preserve">; </w:t>
      </w:r>
      <w:r>
        <w:rPr>
          <w:lang w:val="id_ID" w:bidi="id_ID"/>
        </w:rPr>
        <w:t>44–45</w:t>
      </w:r>
      <w:r>
        <w:rPr>
          <w:lang w:val="id_ID" w:bidi="id_ID"/>
        </w:rPr>
        <w:t xml:space="preserve">; </w:t>
      </w:r>
      <w:r>
        <w:rPr>
          <w:lang w:val="id_ID" w:bidi="id_ID"/>
        </w:rPr>
        <w:t>52–55</w:t>
      </w:r>
      <w:r>
        <w:rPr>
          <w:lang w:val="id_ID" w:bidi="id_ID"/>
        </w:rPr>
        <w:t xml:space="preserve">; </w:t>
      </w:r>
      <w:r>
        <w:rPr>
          <w:lang w:val="id_ID" w:bidi="id_ID"/>
        </w:rPr>
        <w:t>74</w:t>
      </w:r>
      <w:r>
        <w:rPr>
          <w:lang w:val="id_ID" w:bidi="id_ID"/>
        </w:rPr>
        <w:t xml:space="preserve">; </w:t>
      </w:r>
      <w:r>
        <w:rPr>
          <w:lang w:val="id_ID" w:bidi="id_ID"/>
        </w:rPr>
        <w:t>88–89</w:t>
      </w:r>
      <w:r>
        <w:rPr>
          <w:lang w:val="id_ID" w:bidi="id_ID"/>
        </w:rPr>
        <w:t xml:space="preserve">), miktam (“mazmur” atau “nyanyian”: </w:t>
      </w:r>
      <w:r>
        <w:rPr>
          <w:lang w:val="id_ID" w:bidi="id_ID"/>
        </w:rPr>
        <w:t>Mzm. 16</w:t>
      </w:r>
      <w:r>
        <w:rPr>
          <w:lang w:val="id_ID" w:bidi="id_ID"/>
        </w:rPr>
        <w:t xml:space="preserve">; </w:t>
      </w:r>
      <w:r>
        <w:rPr>
          <w:lang w:val="id_ID" w:bidi="id_ID"/>
        </w:rPr>
        <w:t>56–60</w:t>
      </w:r>
      <w:r>
        <w:rPr>
          <w:lang w:val="id_ID" w:bidi="id_ID"/>
        </w:rPr>
        <w:t xml:space="preserve">), shir (“lagu”: </w:t>
      </w:r>
      <w:r>
        <w:rPr>
          <w:lang w:val="id_ID" w:bidi="id_ID"/>
        </w:rPr>
        <w:t>Mzm 45</w:t>
      </w:r>
      <w:r>
        <w:rPr>
          <w:lang w:val="id_ID" w:bidi="id_ID"/>
        </w:rPr>
        <w:t xml:space="preserve">; </w:t>
      </w:r>
      <w:r>
        <w:rPr>
          <w:lang w:val="id_ID" w:bidi="id_ID"/>
        </w:rPr>
        <w:t>120–135</w:t>
      </w:r>
      <w:r>
        <w:rPr>
          <w:lang w:val="id_ID" w:bidi="id_ID"/>
        </w:rPr>
        <w:t xml:space="preserve">), shiggayon (“mazmur,” istilah umum atau musik: </w:t>
      </w:r>
      <w:r>
        <w:rPr>
          <w:lang w:val="id_ID" w:bidi="id_ID"/>
        </w:rPr>
        <w:t>Mzm 7</w:t>
      </w:r>
      <w:r>
        <w:rPr>
          <w:lang w:val="id_ID" w:bidi="id_ID"/>
        </w:rPr>
        <w:t xml:space="preserve">), tepillah (“Doa”: </w:t>
      </w:r>
      <w:r>
        <w:rPr>
          <w:lang w:val="id_ID" w:bidi="id_ID"/>
        </w:rPr>
        <w:t>Mzm. 17</w:t>
      </w:r>
      <w:r>
        <w:rPr>
          <w:lang w:val="id_ID" w:bidi="id_ID"/>
        </w:rPr>
        <w:t xml:space="preserve">; </w:t>
      </w:r>
      <w:r>
        <w:rPr>
          <w:lang w:val="id_ID" w:bidi="id_ID"/>
        </w:rPr>
        <w:t>86</w:t>
      </w:r>
      <w:r>
        <w:rPr>
          <w:lang w:val="id_ID" w:bidi="id_ID"/>
        </w:rPr>
        <w:t xml:space="preserve">; </w:t>
      </w:r>
      <w:r>
        <w:rPr>
          <w:lang w:val="id_ID" w:bidi="id_ID"/>
        </w:rPr>
        <w:t>90</w:t>
      </w:r>
      <w:r>
        <w:rPr>
          <w:lang w:val="id_ID" w:bidi="id_ID"/>
        </w:rPr>
        <w:t xml:space="preserve">), tehillah (“mazmur pujian”: </w:t>
      </w:r>
      <w:r>
        <w:rPr>
          <w:lang w:val="id_ID" w:bidi="id_ID"/>
        </w:rPr>
        <w:t>Mzm. 145</w:t>
      </w:r>
      <w:r>
        <w:rPr>
          <w:lang w:val="id_ID" w:bidi="id_ID"/>
        </w:rPr>
        <w:t xml:space="preserve">), higgayon (“meditasi,” arti tidak diketahui: </w:t>
      </w:r>
      <w:r>
        <w:rPr>
          <w:lang w:val="id_ID" w:bidi="id_ID"/>
        </w:rPr>
        <w:t>Mzm. 9:16</w:t>
      </w:r>
      <w:r>
        <w:rPr>
          <w:lang w:val="id_ID" w:bidi="id_ID"/>
        </w:rPr>
        <w:t xml:space="preserve">), dan todah (“mazmur ucapan syukur”: </w:t>
      </w:r>
      <w:r>
        <w:rPr>
          <w:lang w:val="id_ID" w:bidi="id_ID"/>
        </w:rPr>
        <w:t>Mzm. 100</w:t>
      </w:r>
      <w:r>
        <w:rPr>
          <w:lang w:val="id_ID" w:bidi="id_ID"/>
        </w:rPr>
        <w:t>).</w:t>
      </w:r>
    </w:p>
    <w:p>
      <w:pPr/>
      <w:r>
        <w:rPr>
          <w:lang w:val="id_ID" w:bidi="id_ID"/>
        </w:rPr>
      </w:r>
      <w:r>
        <w:rPr>
          <w:lang w:val="id_ID" w:bidi="id_ID"/>
        </w:rPr>
        <w:t>Selain mengidentifikasi genre yang ditemukan dalam teks Ibrani, Mazmur dapat dibagi menjadi tiga kategori utama:</w:t>
      </w:r>
    </w:p>
    <w:p>
      <w:pPr>
        <w:pStyle w:val="ListNumber"/>
        <w:numPr>
          <w:ilvl w:val="0"/>
          <w:numId w:val="15"/>
        </w:numPr>
        <w:spacing w:line="240" w:lineRule="auto"/>
        <w:ind w:left="720"/>
      </w:pPr>
      <w:r>
        <w:rPr>
          <w:lang w:val="id_ID" w:bidi="id_ID"/>
        </w:rPr>
      </w:r>
      <w:r>
        <w:rPr>
          <w:lang w:val="id_ID" w:bidi="id_ID"/>
        </w:rPr>
        <w:t>Mazmur kebijaksanaan atau pengajaran (</w:t>
      </w:r>
      <w:r>
        <w:rPr>
          <w:lang w:val="id_ID" w:bidi="id_ID"/>
        </w:rPr>
        <w:t>Mzm. 1</w:t>
      </w:r>
      <w:r>
        <w:rPr>
          <w:lang w:val="id_ID" w:bidi="id_ID"/>
        </w:rPr>
        <w:t xml:space="preserve">, </w:t>
      </w:r>
      <w:r>
        <w:rPr>
          <w:lang w:val="id_ID" w:bidi="id_ID"/>
        </w:rPr>
        <w:t>15</w:t>
      </w:r>
      <w:r>
        <w:rPr>
          <w:lang w:val="id_ID" w:bidi="id_ID"/>
        </w:rPr>
        <w:t xml:space="preserve">, </w:t>
      </w:r>
      <w:r>
        <w:rPr>
          <w:lang w:val="id_ID" w:bidi="id_ID"/>
        </w:rPr>
        <w:t>24</w:t>
      </w:r>
      <w:r>
        <w:rPr>
          <w:lang w:val="id_ID" w:bidi="id_ID"/>
        </w:rPr>
        <w:t xml:space="preserve">, </w:t>
      </w:r>
      <w:r>
        <w:rPr>
          <w:lang w:val="id_ID" w:bidi="id_ID"/>
        </w:rPr>
        <w:t>33</w:t>
      </w:r>
      <w:r>
        <w:rPr>
          <w:lang w:val="id_ID" w:bidi="id_ID"/>
        </w:rPr>
        <w:t xml:space="preserve">, </w:t>
      </w:r>
      <w:r>
        <w:rPr>
          <w:lang w:val="id_ID" w:bidi="id_ID"/>
        </w:rPr>
        <w:t>34</w:t>
      </w:r>
      <w:r>
        <w:rPr>
          <w:lang w:val="id_ID" w:bidi="id_ID"/>
        </w:rPr>
        <w:t xml:space="preserve">, </w:t>
      </w:r>
      <w:r>
        <w:rPr>
          <w:lang w:val="id_ID" w:bidi="id_ID"/>
        </w:rPr>
        <w:t>37</w:t>
      </w:r>
      <w:r>
        <w:rPr>
          <w:lang w:val="id_ID" w:bidi="id_ID"/>
        </w:rPr>
        <w:t xml:space="preserve">, </w:t>
      </w:r>
      <w:r>
        <w:rPr>
          <w:lang w:val="id_ID" w:bidi="id_ID"/>
        </w:rPr>
        <w:t>73</w:t>
      </w:r>
      <w:r>
        <w:rPr>
          <w:lang w:val="id_ID" w:bidi="id_ID"/>
        </w:rPr>
        <w:t xml:space="preserve">, </w:t>
      </w:r>
      <w:r>
        <w:rPr>
          <w:lang w:val="id_ID" w:bidi="id_ID"/>
        </w:rPr>
        <w:t>90</w:t>
      </w:r>
      <w:r>
        <w:rPr>
          <w:lang w:val="id_ID" w:bidi="id_ID"/>
        </w:rPr>
        <w:t xml:space="preserve">, </w:t>
      </w:r>
      <w:r>
        <w:rPr>
          <w:lang w:val="id_ID" w:bidi="id_ID"/>
        </w:rPr>
        <w:t>107</w:t>
      </w:r>
      <w:r>
        <w:rPr>
          <w:lang w:val="id_ID" w:bidi="id_ID"/>
        </w:rPr>
        <w:t>)</w:t>
      </w:r>
    </w:p>
    <w:p>
      <w:pPr>
        <w:pStyle w:val="ListNumber"/>
        <w:spacing w:line="240" w:lineRule="auto"/>
        <w:ind w:left="720"/>
      </w:pPr>
      <w:r>
        <w:rPr>
          <w:lang w:val="id_ID" w:bidi="id_ID"/>
        </w:rPr>
      </w:r>
      <w:r>
        <w:rPr>
          <w:lang w:val="id_ID" w:bidi="id_ID"/>
        </w:rPr>
        <w:t>Mazmur ratapan (kebanyakan Mazmur dalam kitab-kitab 1—3), yang dapat dibagi lagi menjadi ratapan individu dan ratapan komunitas.</w:t>
      </w:r>
    </w:p>
    <w:p>
      <w:pPr>
        <w:pStyle w:val="ListNumber"/>
        <w:spacing w:line="240" w:lineRule="auto"/>
        <w:ind w:left="720"/>
      </w:pPr>
      <w:r>
        <w:rPr>
          <w:lang w:val="id_ID" w:bidi="id_ID"/>
        </w:rPr>
      </w:r>
      <w:r>
        <w:rPr>
          <w:lang w:val="id_ID" w:bidi="id_ID"/>
        </w:rPr>
        <w:t>Nyanyian pujian atau ucapan syukur (</w:t>
      </w:r>
      <w:r>
        <w:rPr>
          <w:lang w:val="id_ID" w:bidi="id_ID"/>
        </w:rPr>
        <w:t>Mzm. 8</w:t>
      </w:r>
      <w:r>
        <w:rPr>
          <w:lang w:val="id_ID" w:bidi="id_ID"/>
        </w:rPr>
        <w:t xml:space="preserve">, </w:t>
      </w:r>
      <w:r>
        <w:rPr>
          <w:lang w:val="id_ID" w:bidi="id_ID"/>
        </w:rPr>
        <w:t>19</w:t>
      </w:r>
      <w:r>
        <w:rPr>
          <w:lang w:val="id_ID" w:bidi="id_ID"/>
        </w:rPr>
        <w:t xml:space="preserve">, </w:t>
      </w:r>
      <w:r>
        <w:rPr>
          <w:lang w:val="id_ID" w:bidi="id_ID"/>
        </w:rPr>
        <w:t>29</w:t>
      </w:r>
      <w:r>
        <w:rPr>
          <w:lang w:val="id_ID" w:bidi="id_ID"/>
        </w:rPr>
        <w:t xml:space="preserve">, </w:t>
      </w:r>
      <w:r>
        <w:rPr>
          <w:lang w:val="id_ID" w:bidi="id_ID"/>
        </w:rPr>
        <w:t>65</w:t>
      </w:r>
      <w:r>
        <w:rPr>
          <w:lang w:val="id_ID" w:bidi="id_ID"/>
        </w:rPr>
        <w:t xml:space="preserve">, </w:t>
      </w:r>
      <w:r>
        <w:rPr>
          <w:lang w:val="id_ID" w:bidi="id_ID"/>
        </w:rPr>
        <w:t>67</w:t>
      </w:r>
      <w:r>
        <w:rPr>
          <w:lang w:val="id_ID" w:bidi="id_ID"/>
        </w:rPr>
        <w:t xml:space="preserve">, </w:t>
      </w:r>
      <w:r>
        <w:rPr>
          <w:lang w:val="id_ID" w:bidi="id_ID"/>
        </w:rPr>
        <w:t>114</w:t>
      </w:r>
      <w:r>
        <w:rPr>
          <w:lang w:val="id_ID" w:bidi="id_ID"/>
        </w:rPr>
        <w:t>), yang juga dapat dibedakan menjadi nyanyian individu dan komunitas</w:t>
      </w:r>
    </w:p>
    <w:p>
      <w:pPr/>
      <w:r>
        <w:rPr>
          <w:lang w:val="id_ID" w:bidi="id_ID"/>
        </w:rPr>
      </w:r>
      <w:r>
        <w:rPr>
          <w:lang w:val="id_ID" w:bidi="id_ID"/>
        </w:rPr>
        <w:t>Mazmur pujian terdiri dari beberapa subgenre, termasuk Mazmur "kerajaan" yang membahas tentang raja (</w:t>
      </w:r>
      <w:r>
        <w:rPr>
          <w:lang w:val="id_ID" w:bidi="id_ID"/>
        </w:rPr>
        <w:t>Mzm. 2</w:t>
      </w:r>
      <w:r>
        <w:rPr>
          <w:lang w:val="id_ID" w:bidi="id_ID"/>
        </w:rPr>
        <w:t xml:space="preserve">, </w:t>
      </w:r>
      <w:r>
        <w:rPr>
          <w:lang w:val="id_ID" w:bidi="id_ID"/>
        </w:rPr>
        <w:t>45</w:t>
      </w:r>
      <w:r>
        <w:rPr>
          <w:lang w:val="id_ID" w:bidi="id_ID"/>
        </w:rPr>
        <w:t xml:space="preserve">, </w:t>
      </w:r>
      <w:r>
        <w:rPr>
          <w:lang w:val="id_ID" w:bidi="id_ID"/>
        </w:rPr>
        <w:t>72</w:t>
      </w:r>
      <w:r>
        <w:rPr>
          <w:lang w:val="id_ID" w:bidi="id_ID"/>
        </w:rPr>
        <w:t xml:space="preserve">, </w:t>
      </w:r>
      <w:r>
        <w:rPr>
          <w:lang w:val="id_ID" w:bidi="id_ID"/>
        </w:rPr>
        <w:t>89</w:t>
      </w:r>
      <w:r>
        <w:rPr>
          <w:lang w:val="id_ID" w:bidi="id_ID"/>
        </w:rPr>
        <w:t xml:space="preserve">, </w:t>
      </w:r>
      <w:r>
        <w:rPr>
          <w:lang w:val="id_ID" w:bidi="id_ID"/>
        </w:rPr>
        <w:t>110</w:t>
      </w:r>
      <w:r>
        <w:rPr>
          <w:lang w:val="id_ID" w:bidi="id_ID"/>
        </w:rPr>
        <w:t>); Mazmur yang mengaitkan kerajaan dengan Tuhan (</w:t>
      </w:r>
      <w:r>
        <w:rPr>
          <w:lang w:val="id_ID" w:bidi="id_ID"/>
        </w:rPr>
        <w:t>Mzm. 93</w:t>
      </w:r>
      <w:r>
        <w:rPr>
          <w:lang w:val="id_ID" w:bidi="id_ID"/>
        </w:rPr>
        <w:t xml:space="preserve">, </w:t>
      </w:r>
      <w:r>
        <w:rPr>
          <w:lang w:val="id_ID" w:bidi="id_ID"/>
        </w:rPr>
        <w:t>95–99</w:t>
      </w:r>
      <w:r>
        <w:rPr>
          <w:lang w:val="id_ID" w:bidi="id_ID"/>
        </w:rPr>
        <w:t>); himne tentang penciptaan (</w:t>
      </w:r>
      <w:r>
        <w:rPr>
          <w:lang w:val="id_ID" w:bidi="id_ID"/>
        </w:rPr>
        <w:t>Mzm. 19</w:t>
      </w:r>
      <w:r>
        <w:rPr>
          <w:lang w:val="id_ID" w:bidi="id_ID"/>
        </w:rPr>
        <w:t xml:space="preserve">, </w:t>
      </w:r>
      <w:r>
        <w:rPr>
          <w:lang w:val="id_ID" w:bidi="id_ID"/>
        </w:rPr>
        <w:t>29</w:t>
      </w:r>
      <w:r>
        <w:rPr>
          <w:lang w:val="id_ID" w:bidi="id_ID"/>
        </w:rPr>
        <w:t xml:space="preserve">, </w:t>
      </w:r>
      <w:r>
        <w:rPr>
          <w:lang w:val="id_ID" w:bidi="id_ID"/>
        </w:rPr>
        <w:t>104</w:t>
      </w:r>
      <w:r>
        <w:rPr>
          <w:lang w:val="id_ID" w:bidi="id_ID"/>
        </w:rPr>
        <w:t>); dan himne tentang Sion (</w:t>
      </w:r>
      <w:r>
        <w:rPr>
          <w:lang w:val="id_ID" w:bidi="id_ID"/>
        </w:rPr>
        <w:t>Mzm. 46</w:t>
      </w:r>
      <w:r>
        <w:rPr>
          <w:lang w:val="id_ID" w:bidi="id_ID"/>
        </w:rPr>
        <w:t xml:space="preserve">, </w:t>
      </w:r>
      <w:r>
        <w:rPr>
          <w:lang w:val="id_ID" w:bidi="id_ID"/>
        </w:rPr>
        <w:t>48</w:t>
      </w:r>
      <w:r>
        <w:rPr>
          <w:lang w:val="id_ID" w:bidi="id_ID"/>
        </w:rPr>
        <w:t xml:space="preserve">, </w:t>
      </w:r>
      <w:r>
        <w:rPr>
          <w:lang w:val="id_ID" w:bidi="id_ID"/>
        </w:rPr>
        <w:t>84</w:t>
      </w:r>
      <w:r>
        <w:rPr>
          <w:lang w:val="id_ID" w:bidi="id_ID"/>
        </w:rPr>
        <w:t xml:space="preserve">, </w:t>
      </w:r>
      <w:r>
        <w:rPr>
          <w:lang w:val="id_ID" w:bidi="id_ID"/>
        </w:rPr>
        <w:t>87</w:t>
      </w:r>
      <w:r>
        <w:rPr>
          <w:lang w:val="id_ID" w:bidi="id_ID"/>
        </w:rPr>
        <w:t>).</w:t>
      </w:r>
    </w:p>
    <w:p>
      <w:pPr/>
      <w:r>
        <w:rPr>
          <w:lang w:val="id_ID" w:bidi="id_ID"/>
        </w:rPr>
      </w:r>
      <w:r>
        <w:rPr>
          <w:lang w:val="id_ID" w:bidi="id_ID"/>
        </w:rPr>
        <w:t xml:space="preserve">Cara lain untuk membaca Mazmur adalah dengan memperhatikan gerakan dalam banyak Mazmur, dari instruksi ke masalah, dan dari masalah ke pembaruan dalam komitmen dan karakter. Kitab Mazmur, sebagai kumpulan lima buku, sebagian besar bersifat instruksional. Ini adalah "instruksi" (torah; lihat </w:t>
      </w:r>
      <w:r>
        <w:rPr>
          <w:lang w:val="id_ID" w:bidi="id_ID"/>
        </w:rPr>
        <w:t>Mzm. 1:2</w:t>
      </w:r>
      <w:r>
        <w:rPr>
          <w:lang w:val="id_ID" w:bidi="id_ID"/>
        </w:rPr>
        <w:t>) dan bertujuan untuk mengajarkan bagaimana umat Allah seharusnya hidup.</w:t>
      </w:r>
    </w:p>
    <w:p>
      <w:pPr>
        <w:pStyle w:val="Heading2"/>
      </w:pPr>
      <w:r>
        <w:rPr>
          <w:lang w:val="id_ID" w:bidi="id_ID"/>
        </w:rPr>
        <w:t>Mazmur dalam Ibadah di Israel</w:t>
      </w:r>
    </w:p>
    <w:p>
      <w:pPr/>
      <w:r>
        <w:rPr>
          <w:lang w:val="id_ID" w:bidi="id_ID"/>
        </w:rPr>
      </w:r>
      <w:r>
        <w:rPr>
          <w:lang w:val="id_ID" w:bidi="id_ID"/>
        </w:rPr>
        <w:t>Kitab Mazmur mengandung banyak informasi tentang pembuatan musik di Israel kuno. Mayoritas Mazmur adalah lagu pujian, ucapan syukur, doa, dan pertobatan. Beberapa Mazmur digunakan pada kesempatan tertentu, seperti saat Paskah (</w:t>
      </w:r>
      <w:r>
        <w:rPr>
          <w:lang w:val="id_ID" w:bidi="id_ID"/>
        </w:rPr>
        <w:t>Mzm. 113–118</w:t>
      </w:r>
      <w:r>
        <w:rPr>
          <w:lang w:val="id_ID" w:bidi="id_ID"/>
        </w:rPr>
        <w:t>), atau saat perjalanan ke Yerusalem untuk festival tahunan (</w:t>
      </w:r>
      <w:r>
        <w:rPr>
          <w:lang w:val="id_ID" w:bidi="id_ID"/>
        </w:rPr>
        <w:t>Mzm. 120–134</w:t>
      </w:r>
      <w:r>
        <w:rPr>
          <w:lang w:val="id_ID" w:bidi="id_ID"/>
        </w:rPr>
        <w:t xml:space="preserve">). Ada juga ode sejarah yang berkaitan dengan peristiwa nasional besar (misalnya, </w:t>
      </w:r>
      <w:r>
        <w:rPr>
          <w:lang w:val="id_ID" w:bidi="id_ID"/>
        </w:rPr>
        <w:t>Mzm. 30</w:t>
      </w:r>
      <w:r>
        <w:rPr>
          <w:lang w:val="id_ID" w:bidi="id_ID"/>
        </w:rPr>
        <w:t xml:space="preserve">, “sebuah lagu untuk pentahbisan Bait Suci,” dan </w:t>
      </w:r>
      <w:r>
        <w:rPr>
          <w:lang w:val="id_ID" w:bidi="id_ID"/>
        </w:rPr>
        <w:t>Mzm. 137</w:t>
      </w:r>
      <w:r>
        <w:rPr>
          <w:lang w:val="id_ID" w:bidi="id_ID"/>
        </w:rPr>
        <w:t>, yang menggambarkan penderitaan orang Yahudi dalam penawanan). Mazmur semacam itu memainkan peran dalam kehidupan komunitas; namun, sifat pasti dari peran tersebut tidak sepenuhnya jelas.</w:t>
      </w:r>
    </w:p>
    <w:p>
      <w:pPr>
        <w:pStyle w:val="Heading2"/>
      </w:pPr>
      <w:r>
        <w:rPr>
          <w:lang w:val="id_ID" w:bidi="id_ID"/>
        </w:rPr>
        <w:t>Makna dan Pesan</w:t>
      </w:r>
    </w:p>
    <w:p>
      <w:pPr/>
      <w:r>
        <w:rPr>
          <w:lang w:val="id_ID" w:bidi="id_ID"/>
        </w:rPr>
      </w:r>
      <w:r>
        <w:rPr>
          <w:lang w:val="id_ID" w:bidi="id_ID"/>
        </w:rPr>
        <w:t>Mazmur memberikan wawasan ke dalam jiwa para orang-orang kudus di masa lampau yang menulisnya. Refleksi teologis mereka tidak sederhana atau dangkal, tetapi iman para pemazmur, ketika diuji, menjadi murni.</w:t>
      </w:r>
    </w:p>
    <w:p>
      <w:pPr/>
      <w:r>
        <w:rPr>
          <w:lang w:val="id_ID" w:bidi="id_ID"/>
        </w:rPr>
      </w:r>
      <w:r>
        <w:rPr>
          <w:lang w:val="id_ID" w:bidi="id_ID"/>
        </w:rPr>
        <w:t xml:space="preserve">Mazmur menggambarkan kedalaman karakter, kebijaksanaan, kejujuran, dan keaslian. Namun, doa-doa dalam Mazmur lebih dari sekadar contoh untuk ditiru. Mereka adalah instruksi dari Allah untuk menjalani hidup yang benar, bagian dari taurat-Nya ("instruksi"; lihat </w:t>
      </w:r>
      <w:r>
        <w:rPr>
          <w:lang w:val="id_ID" w:bidi="id_ID"/>
        </w:rPr>
        <w:t>Mzm. 1</w:t>
      </w:r>
      <w:r>
        <w:rPr>
          <w:lang w:val="id_ID" w:bidi="id_ID"/>
        </w:rPr>
        <w:t xml:space="preserve">; </w:t>
      </w:r>
      <w:r>
        <w:rPr>
          <w:lang w:val="id_ID" w:bidi="id_ID"/>
        </w:rPr>
        <w:t>19</w:t>
      </w:r>
      <w:r>
        <w:rPr>
          <w:lang w:val="id_ID" w:bidi="id_ID"/>
        </w:rPr>
        <w:t xml:space="preserve">; </w:t>
      </w:r>
      <w:r>
        <w:rPr>
          <w:lang w:val="id_ID" w:bidi="id_ID"/>
        </w:rPr>
        <w:t>119</w:t>
      </w:r>
      <w:r>
        <w:rPr>
          <w:lang w:val="id_ID" w:bidi="id_ID"/>
        </w:rPr>
        <w:t>). Allah mengajarkan siapa diri-Nya, apa yang telah dilakukan-Nya, dan apa yang diharapkan-Nya dari umat-Nya. Mazmur berpusat pada Allah, mengajarkan umat-Nya untuk mengenali kesalahan dalam diri mereka, menerima koreksi-Nya, dan menjadi serupa dengan-Nya. Mereka juga mendorong umat Allah untuk menyembah-Nya dengan semangat dan bersaksi tentang-Nya kepada dunia.</w:t>
      </w:r>
    </w:p>
    <w:p>
      <w:pPr/>
      <w:r>
        <w:rPr>
          <w:lang w:val="id_ID" w:bidi="id_ID"/>
        </w:rPr>
      </w:r>
      <w:r>
        <w:rPr>
          <w:lang w:val="id_ID" w:bidi="id_ID"/>
        </w:rPr>
        <w:t xml:space="preserve">Para pemazmur merenungkan sifat sementara kehidupan, penderitaan, dan berbagai jenis kesulitan yang dialami manusia. Saat menghadapi keterasingan dan rasa sakit, mereka merindukan kehadiran, penyediaan, dan perlindungan Allah (misalnya, </w:t>
      </w:r>
      <w:r>
        <w:rPr>
          <w:lang w:val="id_ID" w:bidi="id_ID"/>
        </w:rPr>
        <w:t>Mzm. 23</w:t>
      </w:r>
      <w:r>
        <w:rPr>
          <w:lang w:val="id_ID" w:bidi="id_ID"/>
        </w:rPr>
        <w:t>), serta kemuliaan yang abadi. Bahkan mazmur-mazmur yang berhubungan dengan Daud sering kali menunjukkan Daud yang rendah hati, bukannya Daud yang menang—direndahkan, bukannya dimuliakan. Para pemazmur mengalami keterasingan dan rasa malu, dan mereka mendambakan penebusan, percaya kepada Tuhan untuk membenarkan mereka.</w:t>
      </w:r>
    </w:p>
    <w:p>
      <w:pPr/>
      <w:r>
        <w:rPr>
          <w:lang w:val="id_ID" w:bidi="id_ID"/>
        </w:rPr>
      </w:r>
      <w:r>
        <w:rPr>
          <w:lang w:val="id_ID" w:bidi="id_ID"/>
        </w:rPr>
        <w:t xml:space="preserve">Pemazmur menggambarkan kegagalan Israel dan dinasti Daud. Bangsa Israel dan bahkan raja-raja yang paling saleh tidak mampu membawa kebahagiaan dan kedamaian yang dibicarakan dalam </w:t>
      </w:r>
      <w:r>
        <w:rPr>
          <w:lang w:val="id_ID" w:bidi="id_ID"/>
        </w:rPr>
        <w:t>Mazmur 1</w:t>
      </w:r>
      <w:r>
        <w:rPr>
          <w:lang w:val="id_ID" w:bidi="id_ID"/>
        </w:rPr>
        <w:t xml:space="preserve"> dan </w:t>
      </w:r>
      <w:r>
        <w:rPr>
          <w:lang w:val="id_ID" w:bidi="id_ID"/>
        </w:rPr>
        <w:t>2</w:t>
      </w:r>
      <w:r>
        <w:rPr>
          <w:lang w:val="id_ID" w:bidi="id_ID"/>
        </w:rPr>
        <w:t xml:space="preserve"> (lihat juga </w:t>
      </w:r>
      <w:r>
        <w:rPr>
          <w:lang w:val="id_ID" w:bidi="id_ID"/>
        </w:rPr>
        <w:t>Mzm. 72</w:t>
      </w:r>
      <w:r>
        <w:rPr>
          <w:lang w:val="id_ID" w:bidi="id_ID"/>
        </w:rPr>
        <w:t>). Mazmur adalah nasihat Allah kepada setiap orang untuk mengembangkan kebijaksanaan, mempercayai-Nya, hidup dengan kasih karunia, dan memiliki harapan pada satu-satunya yang dapat membawa berkat kepada dunia yang membutuhkan.</w:t>
      </w:r>
    </w:p>
    <w:p>
      <w:pPr/>
      <w:r>
        <w:rPr>
          <w:lang w:val="id_ID" w:bidi="id_ID"/>
        </w:rPr>
      </w:r>
      <w:r>
        <w:rPr>
          <w:lang w:val="id_ID" w:bidi="id_ID"/>
        </w:rPr>
        <w:t xml:space="preserve">Mazmur mempersiapkan umat Allah untuk kedatangan Yesus Kristus sebagai manusia sempurna dan raja ideal, keturunan Daud yang memiliki integritas mutlak. Yesus dan para rasul memahami kehidupan dan pelayanan Yesus dalam terang mazmur (lihat </w:t>
      </w:r>
      <w:r>
        <w:rPr>
          <w:lang w:val="id_ID" w:bidi="id_ID"/>
        </w:rPr>
        <w:t>Mat. 13:34–35</w:t>
      </w:r>
      <w:r>
        <w:rPr>
          <w:lang w:val="id_ID" w:bidi="id_ID"/>
        </w:rPr>
        <w:t xml:space="preserve">; </w:t>
      </w:r>
      <w:r>
        <w:rPr>
          <w:lang w:val="id_ID" w:bidi="id_ID"/>
        </w:rPr>
        <w:t>21:16</w:t>
      </w:r>
      <w:r>
        <w:rPr>
          <w:lang w:val="id_ID" w:bidi="id_ID"/>
        </w:rPr>
        <w:t xml:space="preserve">, </w:t>
      </w:r>
      <w:r>
        <w:rPr>
          <w:lang w:val="id_ID" w:bidi="id_ID"/>
        </w:rPr>
        <w:t>42</w:t>
      </w:r>
      <w:r>
        <w:rPr>
          <w:lang w:val="id_ID" w:bidi="id_ID"/>
        </w:rPr>
        <w:t xml:space="preserve">; </w:t>
      </w:r>
      <w:r>
        <w:rPr>
          <w:lang w:val="id_ID" w:bidi="id_ID"/>
        </w:rPr>
        <w:t>23:39</w:t>
      </w:r>
      <w:r>
        <w:rPr>
          <w:lang w:val="id_ID" w:bidi="id_ID"/>
        </w:rPr>
        <w:t xml:space="preserve">; </w:t>
      </w:r>
      <w:r>
        <w:rPr>
          <w:lang w:val="id_ID" w:bidi="id_ID"/>
        </w:rPr>
        <w:t>Yohanes 2:17</w:t>
      </w:r>
      <w:r>
        <w:rPr>
          <w:lang w:val="id_ID" w:bidi="id_ID"/>
        </w:rPr>
        <w:t xml:space="preserve">; </w:t>
      </w:r>
      <w:r>
        <w:rPr>
          <w:lang w:val="id_ID" w:bidi="id_ID"/>
        </w:rPr>
        <w:t>15:25</w:t>
      </w:r>
      <w:r>
        <w:rPr>
          <w:lang w:val="id_ID" w:bidi="id_ID"/>
        </w:rPr>
        <w:t xml:space="preserve">; </w:t>
      </w:r>
      <w:r>
        <w:rPr>
          <w:lang w:val="id_ID" w:bidi="id_ID"/>
        </w:rPr>
        <w:t>19:24</w:t>
      </w:r>
      <w:r>
        <w:rPr>
          <w:lang w:val="id_ID" w:bidi="id_ID"/>
        </w:rPr>
        <w:t xml:space="preserve">, </w:t>
      </w:r>
      <w:r>
        <w:rPr>
          <w:lang w:val="id_ID" w:bidi="id_ID"/>
        </w:rPr>
        <w:t>28</w:t>
      </w:r>
      <w:r>
        <w:rPr>
          <w:lang w:val="id_ID" w:bidi="id_ID"/>
        </w:rPr>
        <w:t xml:space="preserve">, </w:t>
      </w:r>
      <w:r>
        <w:rPr>
          <w:lang w:val="id_ID" w:bidi="id_ID"/>
        </w:rPr>
        <w:t>36</w:t>
      </w:r>
      <w:r>
        <w:rPr>
          <w:lang w:val="id_ID" w:bidi="id_ID"/>
        </w:rPr>
        <w:t xml:space="preserve">; </w:t>
      </w:r>
      <w:r>
        <w:rPr>
          <w:lang w:val="id_ID" w:bidi="id_ID"/>
        </w:rPr>
        <w:t>Kisah 2:22–35</w:t>
      </w:r>
      <w:r>
        <w:rPr>
          <w:lang w:val="id_ID" w:bidi="id_ID"/>
        </w:rPr>
        <w:t xml:space="preserve">; </w:t>
      </w:r>
      <w:r>
        <w:rPr>
          <w:lang w:val="id_ID" w:bidi="id_ID"/>
        </w:rPr>
        <w:t>4:11</w:t>
      </w:r>
      <w:r>
        <w:rPr>
          <w:lang w:val="id_ID" w:bidi="id_ID"/>
        </w:rPr>
        <w:t xml:space="preserve">; </w:t>
      </w:r>
      <w:r>
        <w:rPr>
          <w:lang w:val="id_ID" w:bidi="id_ID"/>
        </w:rPr>
        <w:t>13:32–38</w:t>
      </w:r>
      <w:r>
        <w:rPr>
          <w:lang w:val="id_ID" w:bidi="id_ID"/>
        </w:rPr>
        <w:t xml:space="preserve">; </w:t>
      </w:r>
      <w:r>
        <w:rPr>
          <w:lang w:val="id_ID" w:bidi="id_ID"/>
        </w:rPr>
        <w:t>Rm. 15:3</w:t>
      </w:r>
      <w:r>
        <w:rPr>
          <w:lang w:val="id_ID" w:bidi="id_ID"/>
        </w:rPr>
        <w:t xml:space="preserve">; </w:t>
      </w:r>
      <w:r>
        <w:rPr>
          <w:lang w:val="id_ID" w:bidi="id_ID"/>
        </w:rPr>
        <w:t>1Kor. 15:25–27</w:t>
      </w:r>
      <w:r>
        <w:rPr>
          <w:lang w:val="id_ID" w:bidi="id_ID"/>
        </w:rPr>
        <w:t xml:space="preserve">; </w:t>
      </w:r>
      <w:r>
        <w:rPr>
          <w:lang w:val="id_ID" w:bidi="id_ID"/>
        </w:rPr>
        <w:t>Ef. 4:7–10</w:t>
      </w:r>
      <w:r>
        <w:rPr>
          <w:lang w:val="id_ID" w:bidi="id_ID"/>
        </w:rPr>
        <w:t xml:space="preserve">; </w:t>
      </w:r>
      <w:r>
        <w:rPr>
          <w:lang w:val="id_ID" w:bidi="id_ID"/>
        </w:rPr>
        <w:t>1Ptr. 2:7</w:t>
      </w:r>
      <w:r>
        <w:rPr>
          <w:lang w:val="id_ID" w:bidi="id_ID"/>
        </w:rPr>
        <w:t>). Yesus memasuki dunia manusia dan menjalani pola-pola yang ditemukan dalam Kitab Mazmur, termasuk penghinaan, penderitaan, kematian, pembenaran, dan kemuliaan. Dia adalah satu-satunya manusia yang sepenuhnya menyenangkan Allah (</w:t>
      </w:r>
      <w:r>
        <w:rPr>
          <w:lang w:val="id_ID" w:bidi="id_ID"/>
        </w:rPr>
        <w:t>Mzm. 1</w:t>
      </w:r>
      <w:r>
        <w:rPr>
          <w:lang w:val="id_ID" w:bidi="id_ID"/>
        </w:rPr>
        <w:t>). Dia adalah Mesias dan Raja (</w:t>
      </w:r>
      <w:r>
        <w:rPr>
          <w:lang w:val="id_ID" w:bidi="id_ID"/>
        </w:rPr>
        <w:t>Mzm. 2</w:t>
      </w:r>
      <w:r>
        <w:rPr>
          <w:lang w:val="id_ID" w:bidi="id_ID"/>
        </w:rPr>
        <w:t>) yang telah menjadi sarana penebusan, kebahagiaan, dan kedamaian kita.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