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MAL</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Maleakhi</w:t>
      </w:r>
      <w:r>
        <w:rPr>
          <w:lang w:val="id_ID" w:bidi="id_ID"/>
        </w:rPr>
      </w:r>
    </w:p>
    <w:p>
      <w:pPr/>
      <w:r>
        <w:rPr>
          <w:lang w:val="id_ID" w:bidi="id_ID"/>
        </w:rPr>
      </w:r>
      <w:r>
        <w:rPr>
          <w:lang w:val="id_ID" w:bidi="id_ID"/>
        </w:rPr>
        <w:t>Maleakhi memiliki berbagai macam pelayanan. Sebagai seorang gembala rohani yang peka, Maleakhi menawarkan kasih Allah kepada orang-orang yang patah semangat. Sebagai seorang teolog yang bijaksana, ia mengajar orang-orang Yehuda tentang doktrin dasar yang menekankan sifat Allah. Sebagai seorang nabi yang tegas, Maleakhi menegur imam-imam yang korup dan memperingatkan tentang penghakiman Allah. Sebagai seorang pembimbing rohani, ia memanggil umatnya untuk beribadah dengan lebih tulus dan menantang mereka untuk hidup sesuai dengan standar etika perjanjian Allah. Maleakhi menyampaikan firman Allah yang sederhana namun penting kepada Israel: “Aku selalu mengasihi kamu” (</w:t>
      </w:r>
      <w:r>
        <w:rPr>
          <w:lang w:val="id_ID" w:bidi="id_ID"/>
        </w:rPr>
        <w:t>Mal. 1:2</w:t>
      </w:r>
      <w:r>
        <w:rPr>
          <w:lang w:val="id_ID" w:bidi="id_ID"/>
        </w:rPr>
        <w:t>).</w:t>
      </w:r>
    </w:p>
    <w:p>
      <w:pPr>
        <w:pStyle w:val="Heading2"/>
      </w:pPr>
      <w:r>
        <w:rPr>
          <w:lang w:val="id_ID" w:bidi="id_ID"/>
        </w:rPr>
        <w:t>Latar Belakang</w:t>
      </w:r>
    </w:p>
    <w:p>
      <w:pPr/>
      <w:r>
        <w:rPr>
          <w:lang w:val="id_ID" w:bidi="id_ID"/>
        </w:rPr>
      </w:r>
      <w:r>
        <w:rPr>
          <w:lang w:val="id_ID" w:bidi="id_ID"/>
        </w:rPr>
        <w:t>Maleakhi menulis kepada orang-orang Yahudi di provinsi Yudea yang dikuasai Persia, mungkin ketika pemerintahan Raja Darius I dari Persia (521–486 Sebelum Masehi). Orang-orang Yahudi yang baru kembali dari pembuangan di Babel menetap kembali di Yehuda, bergabung dengan yang lain yang tidak dideportasi.</w:t>
      </w:r>
    </w:p>
    <w:p>
      <w:pPr/>
      <w:r>
        <w:rPr>
          <w:lang w:val="id_ID" w:bidi="id_ID"/>
        </w:rPr>
      </w:r>
      <w:r>
        <w:rPr>
          <w:lang w:val="id_ID" w:bidi="id_ID"/>
        </w:rPr>
        <w:t>Pada masa Maleakhi melayani, Bait Suci telah dibangun kembali, tetapi tampak kalah megah dibandingkan dengan Bait Suci Salomo. Para imam dan orang Lewi memegang kendali sebagai perantara kekuasaan di Yehuda, namun ibadah di Bait Suci berada dalam kondisi yang memprihatinkan. Para imam yang apatis justru menuntun orang-orang ke dalam dosa, bukan menjauhkan mereka dari dosa. Para penyembah mempersembahkan hewan yang tidak layak sebagai kurban dan mengabaikan tuntutan Allah untuk persepuluhan dan persembahan. Harapan yang dibangkitkan oleh Hagai dan Zakharia untuk kebangkitan dinasti Daud melalui Zerubabel tampaknya telah sirna.</w:t>
      </w:r>
    </w:p>
    <w:p>
      <w:pPr/>
      <w:r>
        <w:rPr>
          <w:lang w:val="id_ID" w:bidi="id_ID"/>
        </w:rPr>
      </w:r>
      <w:r>
        <w:rPr>
          <w:lang w:val="id_ID" w:bidi="id_ID"/>
        </w:rPr>
        <w:t>Maleakhi menghadapi satu bangsa yang memiliki sinisme religius, skeptisisme politik, dan kekecewaan rohani. Mereka mengharapkan kemakmuran (</w:t>
      </w:r>
      <w:r>
        <w:rPr>
          <w:lang w:val="id_ID" w:bidi="id_ID"/>
        </w:rPr>
        <w:t>Hag. 2:7</w:t>
      </w:r>
      <w:r>
        <w:rPr>
          <w:lang w:val="id_ID" w:bidi="id_ID"/>
        </w:rPr>
        <w:t xml:space="preserve">, </w:t>
      </w:r>
      <w:r>
        <w:rPr>
          <w:lang w:val="id_ID" w:bidi="id_ID"/>
        </w:rPr>
        <w:t>18–19</w:t>
      </w:r>
      <w:r>
        <w:rPr>
          <w:lang w:val="id_ID" w:bidi="id_ID"/>
        </w:rPr>
        <w:t>), seorang raja dari garis keturunan Daud (</w:t>
      </w:r>
      <w:r>
        <w:rPr>
          <w:lang w:val="id_ID" w:bidi="id_ID"/>
        </w:rPr>
        <w:t>Yeh. 34:13</w:t>
      </w:r>
      <w:r>
        <w:rPr>
          <w:lang w:val="id_ID" w:bidi="id_ID"/>
        </w:rPr>
        <w:t xml:space="preserve">, </w:t>
      </w:r>
      <w:r>
        <w:rPr>
          <w:lang w:val="id_ID" w:bidi="id_ID"/>
        </w:rPr>
        <w:t>23–24</w:t>
      </w:r>
      <w:r>
        <w:rPr>
          <w:lang w:val="id_ID" w:bidi="id_ID"/>
        </w:rPr>
        <w:t>), dan perjanjian yang baru yang dijanjikan melalui Yeremia (</w:t>
      </w:r>
      <w:r>
        <w:rPr>
          <w:lang w:val="id_ID" w:bidi="id_ID"/>
        </w:rPr>
        <w:t>Yer. 31:23</w:t>
      </w:r>
      <w:r>
        <w:rPr>
          <w:lang w:val="id_ID" w:bidi="id_ID"/>
        </w:rPr>
        <w:t xml:space="preserve">, </w:t>
      </w:r>
      <w:r>
        <w:rPr>
          <w:lang w:val="id_ID" w:bidi="id_ID"/>
        </w:rPr>
        <w:t>31–34</w:t>
      </w:r>
      <w:r>
        <w:rPr>
          <w:lang w:val="id_ID" w:bidi="id_ID"/>
        </w:rPr>
        <w:t>), tetapi mereka tidak melihat hal-hal ini terwujud. Dalam pandangan banyak orang, Allah telah mengecewakan umat-Nya.</w:t>
      </w:r>
    </w:p>
    <w:p>
      <w:pPr>
        <w:pStyle w:val="Heading2"/>
      </w:pPr>
      <w:r>
        <w:rPr>
          <w:lang w:val="id_ID" w:bidi="id_ID"/>
        </w:rPr>
        <w:t>Ikhtisar</w:t>
      </w:r>
    </w:p>
    <w:p>
      <w:pPr/>
      <w:r>
        <w:rPr>
          <w:lang w:val="id_ID" w:bidi="id_ID"/>
        </w:rPr>
      </w:r>
      <w:r>
        <w:rPr>
          <w:lang w:val="id_ID" w:bidi="id_ID"/>
        </w:rPr>
        <w:t>Maleakhi menyajikan suatu teologi ringkas tentang Allah yang bertujuan memperbaiki pemahaman orang-orang Yehuda yang keliru mengenai hubungan perjanjian mereka dengan Tuhan. Maleakhi memperkenalkan tesisnya—bahwa Allah mengasihi Israel (</w:t>
      </w:r>
      <w:r>
        <w:rPr>
          <w:lang w:val="id_ID" w:bidi="id_ID"/>
        </w:rPr>
        <w:t>Mal. 1:2</w:t>
      </w:r>
      <w:r>
        <w:rPr>
          <w:lang w:val="id_ID" w:bidi="id_ID"/>
        </w:rPr>
        <w:t>)—dalam pesan pertamanya (</w:t>
      </w:r>
      <w:r>
        <w:rPr>
          <w:lang w:val="id_ID" w:bidi="id_ID"/>
        </w:rPr>
        <w:t>Mal. 1:2–5</w:t>
      </w:r>
      <w:r>
        <w:rPr>
          <w:lang w:val="id_ID" w:bidi="id_ID"/>
        </w:rPr>
        <w:t>). Sang nabi kemudian memperdebatkan tesis ini dengan audiensnya dalam lima pesan berikutnya. Pesan kedua (</w:t>
      </w:r>
      <w:r>
        <w:rPr>
          <w:lang w:val="id_ID" w:bidi="id_ID"/>
        </w:rPr>
        <w:t>Mal. 1:6–2:9</w:t>
      </w:r>
      <w:r>
        <w:rPr>
          <w:lang w:val="id_ID" w:bidi="id_ID"/>
        </w:rPr>
        <w:t>), ditujukan khusus kepada para imam dan orang Lewi yang melayani di Bait Suci yang kedua, dengan menegaskan bahwa Allah adalah Tuhan dan Bapa seluruh Israel dan layak menerima penyembahan sejati. Pesan ketiga (</w:t>
      </w:r>
      <w:r>
        <w:rPr>
          <w:lang w:val="id_ID" w:bidi="id_ID"/>
        </w:rPr>
        <w:t>Mal. 2:10–16</w:t>
      </w:r>
      <w:r>
        <w:rPr>
          <w:lang w:val="id_ID" w:bidi="id_ID"/>
        </w:rPr>
        <w:t>) memperluas implikasi kasih Allah terhadap hubungan antar manusia, terutama pernikahan. Pesan keempat (</w:t>
      </w:r>
      <w:r>
        <w:rPr>
          <w:lang w:val="id_ID" w:bidi="id_ID"/>
        </w:rPr>
        <w:t>Mal. 2:17–3:5</w:t>
      </w:r>
      <w:r>
        <w:rPr>
          <w:lang w:val="id_ID" w:bidi="id_ID"/>
        </w:rPr>
        <w:t>) menyoroti keadilan Allah, menyerukan kejujuran dalam ucapan dan bisnis, serta mengupayakan kepedulian sosial yang tulus. Pesan kelima (</w:t>
      </w:r>
      <w:r>
        <w:rPr>
          <w:lang w:val="id_ID" w:bidi="id_ID"/>
        </w:rPr>
        <w:t>Mal. 3:6–12</w:t>
      </w:r>
      <w:r>
        <w:rPr>
          <w:lang w:val="id_ID" w:bidi="id_ID"/>
        </w:rPr>
        <w:t>) menekankan kesetiaan Allah pada firman-Nya dan mengajak Israel untuk menunjukkan kesetiaan serupa dalam ibadah, terutama dalam memberikan persepuluhan dan persembahan. Pesan terakhir (</w:t>
      </w:r>
      <w:r>
        <w:rPr>
          <w:lang w:val="id_ID" w:bidi="id_ID"/>
        </w:rPr>
        <w:t>Mal. 3:13–4:3</w:t>
      </w:r>
      <w:r>
        <w:rPr>
          <w:lang w:val="id_ID" w:bidi="id_ID"/>
        </w:rPr>
        <w:t>) mengulangi keinginan Allah agar Israel jujur dan setia dalam ibadah, mengingat hari Tuhan yang akan datang.</w:t>
      </w:r>
    </w:p>
    <w:p>
      <w:pPr/>
      <w:r>
        <w:rPr>
          <w:lang w:val="id_ID" w:bidi="id_ID"/>
        </w:rPr>
      </w:r>
      <w:r>
        <w:rPr>
          <w:lang w:val="id_ID" w:bidi="id_ID"/>
        </w:rPr>
        <w:t>Hati sebagai gembala dalam diri Maleakhi terlihat di dalam khotbahnya: Ia memulai dan mengakhiri dengan pesan yang memberikan dorongan (</w:t>
      </w:r>
      <w:r>
        <w:rPr>
          <w:lang w:val="id_ID" w:bidi="id_ID"/>
        </w:rPr>
        <w:t>Mal. 1:2</w:t>
      </w:r>
      <w:r>
        <w:rPr>
          <w:lang w:val="id_ID" w:bidi="id_ID"/>
        </w:rPr>
        <w:t xml:space="preserve">; </w:t>
      </w:r>
      <w:r>
        <w:rPr>
          <w:lang w:val="id_ID" w:bidi="id_ID"/>
        </w:rPr>
        <w:t>4:2</w:t>
      </w:r>
      <w:r>
        <w:rPr>
          <w:lang w:val="id_ID" w:bidi="id_ID"/>
        </w:rPr>
        <w:t>).</w:t>
      </w:r>
    </w:p>
    <w:p>
      <w:pPr>
        <w:pStyle w:val="Heading2"/>
      </w:pPr>
      <w:r>
        <w:rPr>
          <w:lang w:val="id_ID" w:bidi="id_ID"/>
        </w:rPr>
        <w:t>Kepengarangan</w:t>
      </w:r>
    </w:p>
    <w:p>
      <w:pPr/>
      <w:r>
        <w:rPr>
          <w:lang w:val="id_ID" w:bidi="id_ID"/>
        </w:rPr>
      </w:r>
      <w:r>
        <w:rPr>
          <w:lang w:val="id_ID" w:bidi="id_ID"/>
        </w:rPr>
        <w:t xml:space="preserve">Kitab Maleakhi tidak menyebutkan siapa penulisnya, tetapi diasumsikan bahwa nabi Maleakhi menuliskan khotbah-khotbahnya sendiri karena pernyataan dalam </w:t>
      </w:r>
      <w:r>
        <w:rPr>
          <w:lang w:val="id_ID" w:bidi="id_ID"/>
        </w:rPr>
        <w:t>Mal. 1:1</w:t>
      </w:r>
      <w:r>
        <w:rPr>
          <w:lang w:val="id_ID" w:bidi="id_ID"/>
        </w:rPr>
        <w:t xml:space="preserve"> (“pesan yang Tuhan berikan . . . melalui nabi Maleakhi”). Kita tidak mengetahui apa pun tentang Maleakhi di luar kitab ini; bahkan di sana, satu-satunya informasi biografis yang diberikan adalah bahwa dia adalah seorang nabi (</w:t>
      </w:r>
      <w:r>
        <w:rPr>
          <w:lang w:val="id_ID" w:bidi="id_ID"/>
        </w:rPr>
        <w:t>Mal. 1:1</w:t>
      </w:r>
      <w:r>
        <w:rPr>
          <w:lang w:val="id_ID" w:bidi="id_ID"/>
        </w:rPr>
        <w:t>).</w:t>
      </w:r>
    </w:p>
    <w:p>
      <w:pPr>
        <w:pStyle w:val="Heading2"/>
      </w:pPr>
      <w:r>
        <w:rPr>
          <w:lang w:val="id_ID" w:bidi="id_ID"/>
        </w:rPr>
        <w:t>Penanggalan</w:t>
      </w:r>
    </w:p>
    <w:p>
      <w:pPr/>
      <w:r>
        <w:rPr>
          <w:lang w:val="id_ID" w:bidi="id_ID"/>
        </w:rPr>
      </w:r>
      <w:r>
        <w:rPr>
          <w:lang w:val="id_ID" w:bidi="id_ID"/>
        </w:rPr>
        <w:t xml:space="preserve">Tidak seperti banyak kitab nubuat lainnya, Maleakhi tidak memiliki formula penanggalan yang mengaitkan pesan nabi dengan pemerintahan raja tertentu (misalnya, </w:t>
      </w:r>
      <w:r>
        <w:rPr>
          <w:lang w:val="id_ID" w:bidi="id_ID"/>
        </w:rPr>
        <w:t>Zef 1:1</w:t>
      </w:r>
      <w:r>
        <w:rPr>
          <w:lang w:val="id_ID" w:bidi="id_ID"/>
        </w:rPr>
        <w:t xml:space="preserve">; </w:t>
      </w:r>
      <w:r>
        <w:rPr>
          <w:lang w:val="id_ID" w:bidi="id_ID"/>
        </w:rPr>
        <w:t>Hag 1:1</w:t>
      </w:r>
      <w:r>
        <w:rPr>
          <w:lang w:val="id_ID" w:bidi="id_ID"/>
        </w:rPr>
        <w:t xml:space="preserve">; </w:t>
      </w:r>
      <w:r>
        <w:rPr>
          <w:lang w:val="id_ID" w:bidi="id_ID"/>
        </w:rPr>
        <w:t>Zak 1:1</w:t>
      </w:r>
      <w:r>
        <w:rPr>
          <w:lang w:val="id_ID" w:bidi="id_ID"/>
        </w:rPr>
        <w:t>). Bahasa Maleakhi mirip dengan Hagai dan Zakharia, dan tampaknya Maleakhi hidup sedikit belakangan dari kedua nabi ini. Ada kemungkinan (meskipun tidak pasti) bahwa pertempuran antara Persia dan Yunani di Marathon (sekitar 490 Sebelum Masehi) mendorong Maleakhi untuk menulis pesannya—nabi mungkin menafsirkan pertempuran besar antara Timur dan Barat sebagai penggenapan sebagian dari nubuat Hagai bahwa Allah akan “mengguncang langit dan bumi” dan “menumbangkan takhta-takhta kerajaan” (</w:t>
      </w:r>
      <w:r>
        <w:rPr>
          <w:lang w:val="id_ID" w:bidi="id_ID"/>
        </w:rPr>
        <w:t>Hag 2:21–22</w:t>
      </w:r>
      <w:r>
        <w:rPr>
          <w:lang w:val="id_ID" w:bidi="id_ID"/>
        </w:rPr>
        <w:t>). Ada juga kemungkinan bahwa Maleakhi menulis pada waktu kemudian di tahun 400-an Sebelum Masehi.</w:t>
      </w:r>
    </w:p>
    <w:p>
      <w:pPr>
        <w:pStyle w:val="Heading2"/>
      </w:pPr>
      <w:r>
        <w:rPr>
          <w:lang w:val="id_ID" w:bidi="id_ID"/>
        </w:rPr>
        <w:t>Jenis Sastra</w:t>
      </w:r>
    </w:p>
    <w:p>
      <w:pPr/>
      <w:r>
        <w:rPr>
          <w:lang w:val="id_ID" w:bidi="id_ID"/>
        </w:rPr>
      </w:r>
      <w:r>
        <w:rPr>
          <w:lang w:val="id_ID" w:bidi="id_ID"/>
        </w:rPr>
        <w:t xml:space="preserve">Bentuk sastra dari nubuat Maleakhi menyerupai prosedur hukum atau pidato pengadilan dan perdebatan. Sebuah perdebatan mempertemukan pembicara dengan audiensnya dalam dialog yang bersifat konfrontatif. Dalam kitab Maleakhi, perdebatan biasanya melibatkan (1) pernyataan kebenaran yang disampaikan oleh sang nabi, (2) sanggahan dari audiens yang diungkapkan dalam bentuk pertanyaan, (3) jawaban sang nabi terhadap sanggahan audiens dengan mengulangi premis awalnya, dan (4) penyajian bukti-bukti tambahan yang mendukung. Tujuan dari gugatan perjanjian dan perdebatan adalah membuat lawan tidak dapat berbicara dengan menghilangkan semua dasar untuk berargumen. Format pertanyaan-dan-argumen retoris ini melahirkan metode dialog eksposisi yang khas untuk aliran-aliran rabinik Yahudi di kemudian hari (lihat juga metode pengajaran Yesus dalam </w:t>
      </w:r>
      <w:r>
        <w:rPr>
          <w:lang w:val="id_ID" w:bidi="id_ID"/>
        </w:rPr>
        <w:t>Mat. 5:21–22</w:t>
      </w:r>
      <w:r>
        <w:rPr>
          <w:lang w:val="id_ID" w:bidi="id_ID"/>
        </w:rPr>
        <w:t xml:space="preserve">, </w:t>
      </w:r>
      <w:r>
        <w:rPr>
          <w:lang w:val="id_ID" w:bidi="id_ID"/>
        </w:rPr>
        <w:t>27–28</w:t>
      </w:r>
      <w:r>
        <w:rPr>
          <w:lang w:val="id_ID" w:bidi="id_ID"/>
        </w:rPr>
        <w:t>: “Kamu telah mendengar. . . . Tetapi Aku berkata, . . .”).</w:t>
      </w:r>
    </w:p>
    <w:p>
      <w:pPr>
        <w:pStyle w:val="Heading2"/>
      </w:pPr>
      <w:r>
        <w:rPr>
          <w:lang w:val="id_ID" w:bidi="id_ID"/>
        </w:rPr>
        <w:t>Makna dan Pesan</w:t>
      </w:r>
    </w:p>
    <w:p>
      <w:pPr/>
      <w:r>
        <w:rPr>
          <w:lang w:val="id_ID" w:bidi="id_ID"/>
        </w:rPr>
      </w:r>
      <w:r>
        <w:rPr>
          <w:lang w:val="id_ID" w:bidi="id_ID"/>
        </w:rPr>
        <w:t>Maleakhi berusaha memotivasi orang-orang untuk menyesuaikan diri dengan rencana Allah. Khotbah Maleakhi memiliki perhatian yang menyeluruh pada perjanjian yang membentuk hubungan antara Allah dan Israel, serta kewajiban dan tanggung jawab yang menyertainya.</w:t>
      </w:r>
    </w:p>
    <w:p>
      <w:pPr/>
      <w:r>
        <w:rPr>
          <w:lang w:val="id_ID" w:bidi="id_ID"/>
        </w:rPr>
      </w:r>
      <w:r>
        <w:rPr>
          <w:lang w:val="id_ID" w:bidi="id_ID"/>
        </w:rPr>
        <w:t>Tiga pesan Maleakhi berkaitan dengan hubungan yang benar. Premis sang nabi adalah bahwa pengetahuan yang benar sangat penting untuk memelihara hubungan yang benar. Dia membahas hubungan yang benar dalam pernikahan dengan mengecam perceraian dan mendorong kesetiaan. Dia juga membahas hubungan yang benar dalam masyarakat secara umum dengan menekankan kejujuran dan integritas dalam terang karakter Allah.</w:t>
      </w:r>
    </w:p>
    <w:p>
      <w:pPr/>
      <w:r>
        <w:rPr>
          <w:lang w:val="id_ID" w:bidi="id_ID"/>
        </w:rPr>
      </w:r>
      <w:r>
        <w:rPr>
          <w:lang w:val="id_ID" w:bidi="id_ID"/>
        </w:rPr>
        <w:t>Maleakhi mengajak umat Allah untuk kembali kepada pemahaman yang benar tentang Allah sebagai Bapa, Tuan, dan Allah perjanjian dari Israel. Maleakhi mendesak agar mereka kembali beribadah dengan benar melalui partisipasi dalam pengorbanan di Bait Suci dengan integritas. Maleakhi juga mendorong pemberian yang layak kepada Allah, yang murah hati dan dermawan dalam menanggapi mereka yang setia.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