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Intros)</w:t>
      </w:r>
      <w:r>
        <w:rPr>
          <w:lang w:val="id_ID" w:bidi="id_ID"/>
        </w:rPr>
      </w:r>
    </w:p>
    <w:p>
      <w:pPr/>
      <w:r>
        <w:rPr>
          <w:lang w:val="id_ID" w:bidi="id_ID"/>
        </w:rPr>
      </w:r>
      <w:r>
        <w:rPr>
          <w:b/>
          <w:lang w:val="id_ID" w:bidi="id_ID"/>
        </w:rPr>
        <w:t>Aquifer Open Study Notes (Book Intros)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JAS</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Yakobus</w:t>
      </w:r>
      <w:r>
        <w:rPr>
          <w:lang w:val="id_ID" w:bidi="id_ID"/>
        </w:rPr>
      </w:r>
    </w:p>
    <w:p>
      <w:pPr/>
      <w:r>
        <w:rPr>
          <w:lang w:val="id_ID" w:bidi="id_ID"/>
        </w:rPr>
      </w:r>
      <w:r>
        <w:rPr>
          <w:lang w:val="id_ID" w:bidi="id_ID"/>
        </w:rPr>
        <w:t xml:space="preserve">Bisakah kita menjadi sahabat setia dari Allah seperti Abraham? Mampukah kita menahan tekanan dunia, kecenderungan manusia yang memberontak, dan pengaruh dari Iblis? Dapatkah umat Kristen hidup berdampingan dengan damai saat mencari solusi atas persoalan hidup? Yakobus membahas masalah-masalah ini dalam suratnya, berusaha memotivasi umat Kristen untuk mengembangkan iman yang dewasa dan konsisten serta menunjukkan bagaimana seharusnya hidup umat Kristen dalam hubungan mereka dengan Allah dan dengan sesama. </w:t>
      </w:r>
    </w:p>
    <w:p>
      <w:pPr>
        <w:pStyle w:val="Heading2"/>
      </w:pPr>
      <w:r>
        <w:rPr>
          <w:lang w:val="id_ID" w:bidi="id_ID"/>
        </w:rPr>
        <w:t>Latar Belakang</w:t>
      </w:r>
    </w:p>
    <w:p>
      <w:pPr/>
      <w:r>
        <w:rPr>
          <w:lang w:val="id_ID" w:bidi="id_ID"/>
        </w:rPr>
      </w:r>
      <w:r>
        <w:rPr>
          <w:lang w:val="id_ID" w:bidi="id_ID"/>
        </w:rPr>
        <w:t>Yakobus, saudara Yesus, menjadi pemimpin yang diakui di gereja Yerusalem tak lama setelah kebangkitan Yesus. Dia menulis kepada orang Kristen Yahudi (</w:t>
      </w:r>
      <w:r>
        <w:rPr>
          <w:lang w:val="id_ID" w:bidi="id_ID"/>
        </w:rPr>
        <w:t>Yak. 1:1</w:t>
      </w:r>
      <w:r>
        <w:rPr>
          <w:lang w:val="id_ID" w:bidi="id_ID"/>
        </w:rPr>
        <w:t>) yang telah tercerai-berai akibat penganiayaan yang dimulai dengan perajaman Stefanus (</w:t>
      </w:r>
      <w:r>
        <w:rPr>
          <w:lang w:val="id_ID" w:bidi="id_ID"/>
        </w:rPr>
        <w:t>Kisah 8:1</w:t>
      </w:r>
      <w:r>
        <w:rPr>
          <w:lang w:val="id_ID" w:bidi="id_ID"/>
        </w:rPr>
        <w:t xml:space="preserve">; </w:t>
      </w:r>
      <w:r>
        <w:rPr>
          <w:lang w:val="id_ID" w:bidi="id_ID"/>
        </w:rPr>
        <w:t>11:19</w:t>
      </w:r>
      <w:r>
        <w:rPr>
          <w:lang w:val="id_ID" w:bidi="id_ID"/>
        </w:rPr>
        <w:t>). Mereka tinggal di antara orang Yahudi yang sebelumnya telah "tersebar di luar negeri" dalam perantauan (Diaspora) (</w:t>
      </w:r>
      <w:r>
        <w:rPr>
          <w:lang w:val="id_ID" w:bidi="id_ID"/>
        </w:rPr>
        <w:t>Yak. 1:1</w:t>
      </w:r>
      <w:r>
        <w:rPr>
          <w:lang w:val="id_ID" w:bidi="id_ID"/>
        </w:rPr>
        <w:t xml:space="preserve">; lihat </w:t>
      </w:r>
      <w:r>
        <w:rPr>
          <w:lang w:val="id_ID" w:bidi="id_ID"/>
        </w:rPr>
        <w:t>Yohanes 7:35</w:t>
      </w:r>
      <w:r>
        <w:rPr>
          <w:lang w:val="id_ID" w:bidi="id_ID"/>
        </w:rPr>
        <w:t>). Diaspora berawal dari pembuangan oleh bangsa Asyur atas Israel (kerajaan utara) pada tahun 722–721 Sebelum Masehi dan pembuangan bangsa Babilonia atas Yehuda (kerajaan selatan) pada tahun 586 Sebelum Masehi. Penyebaran ini kemudian mencakup banyak orang Yahudi yang melakukan perjalanan secara luas di seluruh kekaisaran Yunani dan Roma (</w:t>
      </w:r>
      <w:r>
        <w:rPr>
          <w:lang w:val="id_ID" w:bidi="id_ID"/>
        </w:rPr>
        <w:t>Yak. 4:13</w:t>
      </w:r>
      <w:r>
        <w:rPr>
          <w:lang w:val="id_ID" w:bidi="id_ID"/>
        </w:rPr>
        <w:t xml:space="preserve">; </w:t>
      </w:r>
      <w:r>
        <w:rPr>
          <w:lang w:val="id_ID" w:bidi="id_ID"/>
        </w:rPr>
        <w:t>Kisah 13:14</w:t>
      </w:r>
      <w:r>
        <w:rPr>
          <w:lang w:val="id_ID" w:bidi="id_ID"/>
        </w:rPr>
        <w:t xml:space="preserve">; </w:t>
      </w:r>
      <w:r>
        <w:rPr>
          <w:lang w:val="id_ID" w:bidi="id_ID"/>
        </w:rPr>
        <w:t>17:1</w:t>
      </w:r>
      <w:r>
        <w:rPr>
          <w:lang w:val="id_ID" w:bidi="id_ID"/>
        </w:rPr>
        <w:t>). Pada pertengahan abad pertama, terdapat komunitas Yahudi di seluruh dunia Yunani-Romawi. Orang percaya Diaspora Yahudi berada di bawah tekanan dari masyarakat yang menindas mereka secara ekonomi (</w:t>
      </w:r>
      <w:r>
        <w:rPr>
          <w:lang w:val="id_ID" w:bidi="id_ID"/>
        </w:rPr>
        <w:t>Yak. 2:6</w:t>
      </w:r>
      <w:r>
        <w:rPr>
          <w:lang w:val="id_ID" w:bidi="id_ID"/>
        </w:rPr>
        <w:t>) dan diperlakukan secara tidak adil karena iman mereka kepada Yesus Kristus (</w:t>
      </w:r>
      <w:r>
        <w:rPr>
          <w:lang w:val="id_ID" w:bidi="id_ID"/>
        </w:rPr>
        <w:t>Yak. 2:7</w:t>
      </w:r>
      <w:r>
        <w:rPr>
          <w:lang w:val="id_ID" w:bidi="id_ID"/>
        </w:rPr>
        <w:t>).</w:t>
      </w:r>
    </w:p>
    <w:p>
      <w:pPr>
        <w:pStyle w:val="Heading2"/>
      </w:pPr>
      <w:r>
        <w:rPr>
          <w:lang w:val="id_ID" w:bidi="id_ID"/>
        </w:rPr>
        <w:t>Ikhtisar</w:t>
      </w:r>
    </w:p>
    <w:p>
      <w:pPr/>
      <w:r>
        <w:rPr>
          <w:lang w:val="id_ID" w:bidi="id_ID"/>
        </w:rPr>
      </w:r>
      <w:r>
        <w:rPr>
          <w:lang w:val="id_ID" w:bidi="id_ID"/>
        </w:rPr>
        <w:t>Surat Yakobus ditulis dari sudut pandang pastoral dan lebih menekankan etika dibandingkan kitab-kitab Perjanjian Baru lainnya. Surat ini berisi ajaran yang didasarkan pada hukum sebagaimana dipahami melalui kehidupan dan ajaran Yesus (</w:t>
      </w:r>
      <w:r>
        <w:rPr>
          <w:lang w:val="id_ID" w:bidi="id_ID"/>
        </w:rPr>
        <w:t>Yak. 1:25</w:t>
      </w:r>
      <w:r>
        <w:rPr>
          <w:lang w:val="id_ID" w:bidi="id_ID"/>
        </w:rPr>
        <w:t xml:space="preserve">; </w:t>
      </w:r>
      <w:r>
        <w:rPr>
          <w:lang w:val="id_ID" w:bidi="id_ID"/>
        </w:rPr>
        <w:t>2:8</w:t>
      </w:r>
      <w:r>
        <w:rPr>
          <w:lang w:val="id_ID" w:bidi="id_ID"/>
        </w:rPr>
        <w:t>). Yakobus juga mencerminkan ajaran Yesus sendiri, terutama seperti yang kemudian dicatat dalam "Khotbah di Bukit" dalam Matius (</w:t>
      </w:r>
      <w:r>
        <w:rPr>
          <w:lang w:val="id_ID" w:bidi="id_ID"/>
        </w:rPr>
        <w:t>Mat. 5–7</w:t>
      </w:r>
      <w:r>
        <w:rPr>
          <w:lang w:val="id_ID" w:bidi="id_ID"/>
        </w:rPr>
        <w:t>) dan "Khotbah di tanah Datar" dalam Lukas (</w:t>
      </w:r>
      <w:r>
        <w:rPr>
          <w:lang w:val="id_ID" w:bidi="id_ID"/>
        </w:rPr>
        <w:t>Lukas 6:20–49</w:t>
      </w:r>
      <w:r>
        <w:rPr>
          <w:lang w:val="id_ID" w:bidi="id_ID"/>
        </w:rPr>
        <w:t>).</w:t>
      </w:r>
    </w:p>
    <w:p>
      <w:pPr>
        <w:pStyle w:val="Heading2"/>
      </w:pPr>
      <w:r>
        <w:rPr>
          <w:lang w:val="id_ID" w:bidi="id_ID"/>
        </w:rPr>
        <w:t>Penulis</w:t>
      </w:r>
    </w:p>
    <w:p>
      <w:pPr/>
      <w:r>
        <w:rPr>
          <w:lang w:val="id_ID" w:bidi="id_ID"/>
        </w:rPr>
      </w:r>
      <w:r>
        <w:rPr>
          <w:lang w:val="id_ID" w:bidi="id_ID"/>
        </w:rPr>
        <w:t>Surat Yakobus ditulis oleh salah satu saudara Yesus. Yusuf dan Maria juga memiliki beberapa anak laki-laki lainnya (</w:t>
      </w:r>
      <w:r>
        <w:rPr>
          <w:lang w:val="id_ID" w:bidi="id_ID"/>
        </w:rPr>
        <w:t>Mat. 13:55</w:t>
      </w:r>
      <w:r>
        <w:rPr>
          <w:lang w:val="id_ID" w:bidi="id_ID"/>
        </w:rPr>
        <w:t>), Yakobus (Yunani Iakōbos) memiliki nama seorang pahlawan Israel: Yakub (Ibrani Ya‘aqob; Yunani Iakōb).</w:t>
      </w:r>
    </w:p>
    <w:p>
      <w:pPr/>
      <w:r>
        <w:rPr>
          <w:lang w:val="id_ID" w:bidi="id_ID"/>
        </w:rPr>
      </w:r>
      <w:r>
        <w:rPr>
          <w:lang w:val="id_ID" w:bidi="id_ID"/>
        </w:rPr>
        <w:t>Selama pelayanan Yesus, baik Yakobus maupun saudara-saudara lainnya bukanlah pengikut-pengikut Yesus. Mereka bahkan mencoba menghentikan pelayanannya dan membawanya pulang (</w:t>
      </w:r>
      <w:r>
        <w:rPr>
          <w:lang w:val="id_ID" w:bidi="id_ID"/>
        </w:rPr>
        <w:t>Markus 3:20–21</w:t>
      </w:r>
      <w:r>
        <w:rPr>
          <w:lang w:val="id_ID" w:bidi="id_ID"/>
        </w:rPr>
        <w:t xml:space="preserve">; bdk. </w:t>
      </w:r>
      <w:r>
        <w:rPr>
          <w:lang w:val="id_ID" w:bidi="id_ID"/>
        </w:rPr>
        <w:t>Yohanes 7:3–5</w:t>
      </w:r>
      <w:r>
        <w:rPr>
          <w:lang w:val="id_ID" w:bidi="id_ID"/>
        </w:rPr>
        <w:t xml:space="preserve">). Setelah kebangkitan Yesus, Yakobus menjadi percaya, mungkin setelah penampakan kebangkitan pribadi yang meyakinkannya bahwa Yesus adalah Kristus (lihat </w:t>
      </w:r>
      <w:r>
        <w:rPr>
          <w:lang w:val="id_ID" w:bidi="id_ID"/>
        </w:rPr>
        <w:t>1Kor. 15:7</w:t>
      </w:r>
      <w:r>
        <w:rPr>
          <w:lang w:val="id_ID" w:bidi="id_ID"/>
        </w:rPr>
        <w:t>). Yakobus bersama yang lain di ruang atas ketika Roh diberikan pada hari Pentakosta (</w:t>
      </w:r>
      <w:r>
        <w:rPr>
          <w:lang w:val="id_ID" w:bidi="id_ID"/>
        </w:rPr>
        <w:t>Kisah 1:14</w:t>
      </w:r>
      <w:r>
        <w:rPr>
          <w:lang w:val="id_ID" w:bidi="id_ID"/>
        </w:rPr>
        <w:t xml:space="preserve">; </w:t>
      </w:r>
      <w:r>
        <w:rPr>
          <w:lang w:val="id_ID" w:bidi="id_ID"/>
        </w:rPr>
        <w:t>2:1–3</w:t>
      </w:r>
      <w:r>
        <w:rPr>
          <w:lang w:val="id_ID" w:bidi="id_ID"/>
        </w:rPr>
        <w:t xml:space="preserve">), dan ia naik ke posisi kepemimpinan di gereja Yerusalem (lihat </w:t>
      </w:r>
      <w:r>
        <w:rPr>
          <w:lang w:val="id_ID" w:bidi="id_ID"/>
        </w:rPr>
        <w:t>Kisah 15:13–22</w:t>
      </w:r>
      <w:r>
        <w:rPr>
          <w:lang w:val="id_ID" w:bidi="id_ID"/>
        </w:rPr>
        <w:t>).</w:t>
      </w:r>
    </w:p>
    <w:p>
      <w:pPr>
        <w:pStyle w:val="Heading2"/>
      </w:pPr>
      <w:r>
        <w:rPr>
          <w:lang w:val="id_ID" w:bidi="id_ID"/>
        </w:rPr>
        <w:t>Tanggal dan Tempat Penulisan</w:t>
      </w:r>
    </w:p>
    <w:p>
      <w:pPr/>
      <w:r>
        <w:rPr>
          <w:lang w:val="id_ID" w:bidi="id_ID"/>
        </w:rPr>
      </w:r>
      <w:r>
        <w:rPr>
          <w:lang w:val="id_ID" w:bidi="id_ID"/>
        </w:rPr>
        <w:t xml:space="preserve">Surat Yakobus mungkin adalah kitab paling awal dalam Perjanjian Baru, ditulis setelah penganiayaan di bawah Herodes Agripa (tahun 44 M, </w:t>
      </w:r>
      <w:r>
        <w:rPr>
          <w:lang w:val="id_ID" w:bidi="id_ID"/>
        </w:rPr>
        <w:t>Kisah 12:1–5</w:t>
      </w:r>
      <w:r>
        <w:rPr>
          <w:lang w:val="id_ID" w:bidi="id_ID"/>
        </w:rPr>
        <w:t xml:space="preserve">), mungkin sebelum konsili di Yerusalem (tahun 49~50 M). Ini mencerminkan periode awal sebelum munculnya pertentangan mengenai penyunatan orang-orang bukan Yahudi yang bertobat; juga sebelum perkembangan ajaran sesat di komunitas Kristen lainnya. Itu adalah masa ketika </w:t>
      </w:r>
      <w:r>
        <w:rPr>
          <w:i/>
          <w:lang w:val="id_ID" w:bidi="id_ID"/>
        </w:rPr>
        <w:t>sinagoga</w:t>
      </w:r>
      <w:r>
        <w:rPr>
          <w:lang w:val="id_ID" w:bidi="id_ID"/>
        </w:rPr>
        <w:t xml:space="preserve"> (“pertemuan,” </w:t>
      </w:r>
      <w:r>
        <w:rPr>
          <w:lang w:val="id_ID" w:bidi="id_ID"/>
        </w:rPr>
        <w:t>Yak. 2:2</w:t>
      </w:r>
      <w:r>
        <w:rPr>
          <w:lang w:val="id_ID" w:bidi="id_ID"/>
        </w:rPr>
        <w:t xml:space="preserve">) dan </w:t>
      </w:r>
      <w:r>
        <w:rPr>
          <w:i/>
          <w:lang w:val="id_ID" w:bidi="id_ID"/>
        </w:rPr>
        <w:t>gereja</w:t>
      </w:r>
      <w:r>
        <w:rPr>
          <w:lang w:val="id_ID" w:bidi="id_ID"/>
        </w:rPr>
        <w:t xml:space="preserve"> (</w:t>
      </w:r>
      <w:r>
        <w:rPr>
          <w:lang w:val="id_ID" w:bidi="id_ID"/>
        </w:rPr>
        <w:t>Yak. 5:14</w:t>
      </w:r>
      <w:r>
        <w:rPr>
          <w:lang w:val="id_ID" w:bidi="id_ID"/>
        </w:rPr>
        <w:t xml:space="preserve">) dapat digunakan secara bergantian, begitu juga </w:t>
      </w:r>
      <w:r>
        <w:rPr>
          <w:i/>
          <w:lang w:val="id_ID" w:bidi="id_ID"/>
        </w:rPr>
        <w:t>hukum</w:t>
      </w:r>
      <w:r>
        <w:rPr>
          <w:lang w:val="id_ID" w:bidi="id_ID"/>
        </w:rPr>
        <w:t xml:space="preserve"> dan </w:t>
      </w:r>
      <w:r>
        <w:rPr>
          <w:i/>
          <w:lang w:val="id_ID" w:bidi="id_ID"/>
        </w:rPr>
        <w:t>firman</w:t>
      </w:r>
      <w:r>
        <w:rPr>
          <w:lang w:val="id_ID" w:bidi="id_ID"/>
        </w:rPr>
        <w:t xml:space="preserve"> (</w:t>
      </w:r>
      <w:r>
        <w:rPr>
          <w:lang w:val="id_ID" w:bidi="id_ID"/>
        </w:rPr>
        <w:t>Yak. 1:23</w:t>
      </w:r>
      <w:r>
        <w:rPr>
          <w:lang w:val="id_ID" w:bidi="id_ID"/>
        </w:rPr>
        <w:t xml:space="preserve">, </w:t>
      </w:r>
      <w:r>
        <w:rPr>
          <w:lang w:val="id_ID" w:bidi="id_ID"/>
        </w:rPr>
        <w:t>25</w:t>
      </w:r>
      <w:r>
        <w:rPr>
          <w:lang w:val="id_ID" w:bidi="id_ID"/>
        </w:rPr>
        <w:t>).</w:t>
      </w:r>
    </w:p>
    <w:p>
      <w:pPr/>
      <w:r>
        <w:rPr>
          <w:lang w:val="id_ID" w:bidi="id_ID"/>
        </w:rPr>
      </w:r>
      <w:r>
        <w:rPr>
          <w:lang w:val="id_ID" w:bidi="id_ID"/>
        </w:rPr>
        <w:t>Surat ini diyakini ditulis dari Yerusalem berdasarkan informasi dalam Kisah Para Rasul dan Galatia mengenai lokasi Yakobus (</w:t>
      </w:r>
      <w:r>
        <w:rPr>
          <w:lang w:val="id_ID" w:bidi="id_ID"/>
        </w:rPr>
        <w:t>Kisah 15:13–22</w:t>
      </w:r>
      <w:r>
        <w:rPr>
          <w:lang w:val="id_ID" w:bidi="id_ID"/>
        </w:rPr>
        <w:t xml:space="preserve">; </w:t>
      </w:r>
      <w:r>
        <w:rPr>
          <w:lang w:val="id_ID" w:bidi="id_ID"/>
        </w:rPr>
        <w:t>21:18</w:t>
      </w:r>
      <w:r>
        <w:rPr>
          <w:lang w:val="id_ID" w:bidi="id_ID"/>
        </w:rPr>
        <w:t xml:space="preserve">; </w:t>
      </w:r>
      <w:r>
        <w:rPr>
          <w:lang w:val="id_ID" w:bidi="id_ID"/>
        </w:rPr>
        <w:t>Gal. 1:18–19</w:t>
      </w:r>
      <w:r>
        <w:rPr>
          <w:lang w:val="id_ID" w:bidi="id_ID"/>
        </w:rPr>
        <w:t xml:space="preserve">; </w:t>
      </w:r>
      <w:r>
        <w:rPr>
          <w:lang w:val="id_ID" w:bidi="id_ID"/>
        </w:rPr>
        <w:t>2:9</w:t>
      </w:r>
      <w:r>
        <w:rPr>
          <w:lang w:val="id_ID" w:bidi="id_ID"/>
        </w:rPr>
        <w:t xml:space="preserve">, </w:t>
      </w:r>
      <w:r>
        <w:rPr>
          <w:lang w:val="id_ID" w:bidi="id_ID"/>
        </w:rPr>
        <w:t>12</w:t>
      </w:r>
      <w:r>
        <w:rPr>
          <w:lang w:val="id_ID" w:bidi="id_ID"/>
        </w:rPr>
        <w:t>). Kitab ini menyebutkan hal-hal yang cocok dengan Palestina, termasuk referensi tentang panas terik (</w:t>
      </w:r>
      <w:r>
        <w:rPr>
          <w:lang w:val="id_ID" w:bidi="id_ID"/>
        </w:rPr>
        <w:t>Yak. 1:11</w:t>
      </w:r>
      <w:r>
        <w:rPr>
          <w:lang w:val="id_ID" w:bidi="id_ID"/>
        </w:rPr>
        <w:t>); mata air asin (</w:t>
      </w:r>
      <w:r>
        <w:rPr>
          <w:lang w:val="id_ID" w:bidi="id_ID"/>
        </w:rPr>
        <w:t>Yak. 3:11–12</w:t>
      </w:r>
      <w:r>
        <w:rPr>
          <w:lang w:val="id_ID" w:bidi="id_ID"/>
        </w:rPr>
        <w:t>); penanaman buah ara, zaitun, dan anggur (</w:t>
      </w:r>
      <w:r>
        <w:rPr>
          <w:lang w:val="id_ID" w:bidi="id_ID"/>
        </w:rPr>
        <w:t>Yak. 3:12</w:t>
      </w:r>
      <w:r>
        <w:rPr>
          <w:lang w:val="id_ID" w:bidi="id_ID"/>
        </w:rPr>
        <w:t>); laut (</w:t>
      </w:r>
      <w:r>
        <w:rPr>
          <w:lang w:val="id_ID" w:bidi="id_ID"/>
        </w:rPr>
        <w:t>Yak. 1:6</w:t>
      </w:r>
      <w:r>
        <w:rPr>
          <w:lang w:val="id_ID" w:bidi="id_ID"/>
        </w:rPr>
        <w:t xml:space="preserve">; </w:t>
      </w:r>
      <w:r>
        <w:rPr>
          <w:lang w:val="id_ID" w:bidi="id_ID"/>
        </w:rPr>
        <w:t>3:4</w:t>
      </w:r>
      <w:r>
        <w:rPr>
          <w:lang w:val="id_ID" w:bidi="id_ID"/>
        </w:rPr>
        <w:t>); serta hujan awal dan akhir (</w:t>
      </w:r>
      <w:r>
        <w:rPr>
          <w:lang w:val="id_ID" w:bidi="id_ID"/>
        </w:rPr>
        <w:t>Yak. 5:7</w:t>
      </w:r>
      <w:r>
        <w:rPr>
          <w:lang w:val="id_ID" w:bidi="id_ID"/>
        </w:rPr>
        <w:t>).</w:t>
      </w:r>
    </w:p>
    <w:p>
      <w:pPr>
        <w:pStyle w:val="Heading2"/>
      </w:pPr>
      <w:r>
        <w:rPr>
          <w:lang w:val="id_ID" w:bidi="id_ID"/>
        </w:rPr>
        <w:t>Bentuk Sastra</w:t>
      </w:r>
    </w:p>
    <w:p>
      <w:pPr/>
      <w:r>
        <w:rPr>
          <w:lang w:val="id_ID" w:bidi="id_ID"/>
        </w:rPr>
      </w:r>
      <w:r>
        <w:rPr>
          <w:lang w:val="id_ID" w:bidi="id_ID"/>
        </w:rPr>
        <w:t xml:space="preserve">Surat Yakobus ditulis dalam bahasa Yunani Koiné yang baik, yaitu bahasa Yunani umum dari Dunia Yunani-Romawi. Ini mencerminkan pengaruh Hellenistik di wilayah Galilea dan Palestina, serta enkulturasi pembaca Yahudi di Diaspora. Yakobus menulis dengan tata bahasa yang tepat, memiliki kosakata yang luas, dan memiliki rasa keindahan terhadap ritme dan bunyi kata. Ada penyebutan yang jelas ke terjemahan Yunani dari Perjanjian Lama (misalnya, </w:t>
      </w:r>
      <w:r>
        <w:rPr>
          <w:lang w:val="id_ID" w:bidi="id_ID"/>
        </w:rPr>
        <w:t>Yak. 4:6</w:t>
      </w:r>
      <w:r>
        <w:rPr>
          <w:lang w:val="id_ID" w:bidi="id_ID"/>
        </w:rPr>
        <w:t>), bersama dengan beberapa kiasan dari Dunia Hellenistik.</w:t>
      </w:r>
    </w:p>
    <w:p>
      <w:pPr/>
      <w:r>
        <w:rPr>
          <w:lang w:val="id_ID" w:bidi="id_ID"/>
        </w:rPr>
      </w:r>
      <w:r>
        <w:rPr>
          <w:lang w:val="id_ID" w:bidi="id_ID"/>
        </w:rPr>
        <w:t>Yakobus menggunakan banyak perangkat oratoris, seperti ajakan persaudaraan (</w:t>
      </w:r>
      <w:r>
        <w:rPr>
          <w:lang w:val="id_ID" w:bidi="id_ID"/>
        </w:rPr>
        <w:t>Yak. 1:2</w:t>
      </w:r>
      <w:r>
        <w:rPr>
          <w:lang w:val="id_ID" w:bidi="id_ID"/>
        </w:rPr>
        <w:t xml:space="preserve">; </w:t>
      </w:r>
      <w:r>
        <w:rPr>
          <w:lang w:val="id_ID" w:bidi="id_ID"/>
        </w:rPr>
        <w:t>2:1</w:t>
      </w:r>
      <w:r>
        <w:rPr>
          <w:lang w:val="id_ID" w:bidi="id_ID"/>
        </w:rPr>
        <w:t xml:space="preserve">; </w:t>
      </w:r>
      <w:r>
        <w:rPr>
          <w:lang w:val="id_ID" w:bidi="id_ID"/>
        </w:rPr>
        <w:t>3:1</w:t>
      </w:r>
      <w:r>
        <w:rPr>
          <w:lang w:val="id_ID" w:bidi="id_ID"/>
        </w:rPr>
        <w:t xml:space="preserve">; </w:t>
      </w:r>
      <w:r>
        <w:rPr>
          <w:lang w:val="id_ID" w:bidi="id_ID"/>
        </w:rPr>
        <w:t>4:11</w:t>
      </w:r>
      <w:r>
        <w:rPr>
          <w:lang w:val="id_ID" w:bidi="id_ID"/>
        </w:rPr>
        <w:t>), pertanyaan retoris (</w:t>
      </w:r>
      <w:r>
        <w:rPr>
          <w:lang w:val="id_ID" w:bidi="id_ID"/>
        </w:rPr>
        <w:t>Yak. 2:5</w:t>
      </w:r>
      <w:r>
        <w:rPr>
          <w:lang w:val="id_ID" w:bidi="id_ID"/>
        </w:rPr>
        <w:t xml:space="preserve">; </w:t>
      </w:r>
      <w:r>
        <w:rPr>
          <w:lang w:val="id_ID" w:bidi="id_ID"/>
        </w:rPr>
        <w:t>3:11–12</w:t>
      </w:r>
      <w:r>
        <w:rPr>
          <w:lang w:val="id_ID" w:bidi="id_ID"/>
        </w:rPr>
        <w:t xml:space="preserve">; </w:t>
      </w:r>
      <w:r>
        <w:rPr>
          <w:lang w:val="id_ID" w:bidi="id_ID"/>
        </w:rPr>
        <w:t>4:1</w:t>
      </w:r>
      <w:r>
        <w:rPr>
          <w:lang w:val="id_ID" w:bidi="id_ID"/>
        </w:rPr>
        <w:t>), nasihat imperatif (</w:t>
      </w:r>
      <w:r>
        <w:rPr>
          <w:lang w:val="id_ID" w:bidi="id_ID"/>
        </w:rPr>
        <w:t>Yak. 1:16</w:t>
      </w:r>
      <w:r>
        <w:rPr>
          <w:lang w:val="id_ID" w:bidi="id_ID"/>
        </w:rPr>
        <w:t xml:space="preserve">; </w:t>
      </w:r>
      <w:r>
        <w:rPr>
          <w:lang w:val="id_ID" w:bidi="id_ID"/>
        </w:rPr>
        <w:t>3:1</w:t>
      </w:r>
      <w:r>
        <w:rPr>
          <w:lang w:val="id_ID" w:bidi="id_ID"/>
        </w:rPr>
        <w:t xml:space="preserve">; </w:t>
      </w:r>
      <w:r>
        <w:rPr>
          <w:lang w:val="id_ID" w:bidi="id_ID"/>
        </w:rPr>
        <w:t>5:16</w:t>
      </w:r>
      <w:r>
        <w:rPr>
          <w:lang w:val="id_ID" w:bidi="id_ID"/>
        </w:rPr>
        <w:t>), metafora dan ilustrasi (</w:t>
      </w:r>
      <w:r>
        <w:rPr>
          <w:lang w:val="id_ID" w:bidi="id_ID"/>
        </w:rPr>
        <w:t>Yak. 2:26</w:t>
      </w:r>
      <w:r>
        <w:rPr>
          <w:lang w:val="id_ID" w:bidi="id_ID"/>
        </w:rPr>
        <w:t xml:space="preserve">; </w:t>
      </w:r>
      <w:r>
        <w:rPr>
          <w:lang w:val="id_ID" w:bidi="id_ID"/>
        </w:rPr>
        <w:t>3:3–5</w:t>
      </w:r>
      <w:r>
        <w:rPr>
          <w:lang w:val="id_ID" w:bidi="id_ID"/>
        </w:rPr>
        <w:t xml:space="preserve">; </w:t>
      </w:r>
      <w:r>
        <w:rPr>
          <w:lang w:val="id_ID" w:bidi="id_ID"/>
        </w:rPr>
        <w:t>4:14</w:t>
      </w:r>
      <w:r>
        <w:rPr>
          <w:lang w:val="id_ID" w:bidi="id_ID"/>
        </w:rPr>
        <w:t>), serta kata-kata bijak yang merangkum paragraf (</w:t>
      </w:r>
      <w:r>
        <w:rPr>
          <w:lang w:val="id_ID" w:bidi="id_ID"/>
        </w:rPr>
        <w:t>Yak. 2:13</w:t>
      </w:r>
      <w:r>
        <w:rPr>
          <w:lang w:val="id_ID" w:bidi="id_ID"/>
        </w:rPr>
        <w:t xml:space="preserve">, </w:t>
      </w:r>
      <w:r>
        <w:rPr>
          <w:lang w:val="id_ID" w:bidi="id_ID"/>
        </w:rPr>
        <w:t>17</w:t>
      </w:r>
      <w:r>
        <w:rPr>
          <w:lang w:val="id_ID" w:bidi="id_ID"/>
        </w:rPr>
        <w:t xml:space="preserve">; </w:t>
      </w:r>
      <w:r>
        <w:rPr>
          <w:lang w:val="id_ID" w:bidi="id_ID"/>
        </w:rPr>
        <w:t>3:18</w:t>
      </w:r>
      <w:r>
        <w:rPr>
          <w:lang w:val="id_ID" w:bidi="id_ID"/>
        </w:rPr>
        <w:t xml:space="preserve">; </w:t>
      </w:r>
      <w:r>
        <w:rPr>
          <w:lang w:val="id_ID" w:bidi="id_ID"/>
        </w:rPr>
        <w:t>4:17</w:t>
      </w:r>
      <w:r>
        <w:rPr>
          <w:lang w:val="id_ID" w:bidi="id_ID"/>
        </w:rPr>
        <w:t>).</w:t>
      </w:r>
    </w:p>
    <w:p>
      <w:pPr>
        <w:pStyle w:val="Heading2"/>
      </w:pPr>
      <w:r>
        <w:rPr>
          <w:lang w:val="id_ID" w:bidi="id_ID"/>
        </w:rPr>
        <w:t>Makna dan Pesan</w:t>
      </w:r>
    </w:p>
    <w:p>
      <w:pPr/>
      <w:r>
        <w:rPr>
          <w:lang w:val="id_ID" w:bidi="id_ID"/>
        </w:rPr>
      </w:r>
      <w:r>
        <w:rPr>
          <w:lang w:val="id_ID" w:bidi="id_ID"/>
        </w:rPr>
        <w:t>Kepedulian utama Yakobus adalah agar para pembacanya mempertahankan iman dan kesetiaan yang sepenuhnya kepada Allah (</w:t>
      </w:r>
      <w:r>
        <w:rPr>
          <w:lang w:val="id_ID" w:bidi="id_ID"/>
        </w:rPr>
        <w:t>Yak 1:6</w:t>
      </w:r>
      <w:r>
        <w:rPr>
          <w:lang w:val="id_ID" w:bidi="id_ID"/>
        </w:rPr>
        <w:t>). Yakobus merekomendasikan ketekunan dengan penuh kesabaran (</w:t>
      </w:r>
      <w:r>
        <w:rPr>
          <w:lang w:val="id_ID" w:bidi="id_ID"/>
        </w:rPr>
        <w:t>Yak. 1:3</w:t>
      </w:r>
      <w:r>
        <w:rPr>
          <w:lang w:val="id_ID" w:bidi="id_ID"/>
        </w:rPr>
        <w:t>), ketundukan kepada Allah (</w:t>
      </w:r>
      <w:r>
        <w:rPr>
          <w:lang w:val="id_ID" w:bidi="id_ID"/>
        </w:rPr>
        <w:t>Yak. 4:7</w:t>
      </w:r>
      <w:r>
        <w:rPr>
          <w:lang w:val="id_ID" w:bidi="id_ID"/>
        </w:rPr>
        <w:t>), dan partisipasi dalam pelayanan gereja (</w:t>
      </w:r>
      <w:r>
        <w:rPr>
          <w:lang w:val="id_ID" w:bidi="id_ID"/>
        </w:rPr>
        <w:t>Yak. 5:13–20</w:t>
      </w:r>
      <w:r>
        <w:rPr>
          <w:lang w:val="id_ID" w:bidi="id_ID"/>
        </w:rPr>
        <w:t>). Ini akan menghasilkan kesempurnaan (</w:t>
      </w:r>
      <w:r>
        <w:rPr>
          <w:lang w:val="id_ID" w:bidi="id_ID"/>
        </w:rPr>
        <w:t>Yak. 1:4</w:t>
      </w:r>
      <w:r>
        <w:rPr>
          <w:lang w:val="id_ID" w:bidi="id_ID"/>
        </w:rPr>
        <w:t>), kehormatan (</w:t>
      </w:r>
      <w:r>
        <w:rPr>
          <w:lang w:val="id_ID" w:bidi="id_ID"/>
        </w:rPr>
        <w:t>Yak. 4:10</w:t>
      </w:r>
      <w:r>
        <w:rPr>
          <w:lang w:val="id_ID" w:bidi="id_ID"/>
        </w:rPr>
        <w:t>), dan kehidupan yang mulia (</w:t>
      </w:r>
      <w:r>
        <w:rPr>
          <w:lang w:val="id_ID" w:bidi="id_ID"/>
        </w:rPr>
        <w:t>Yak. 1:12</w:t>
      </w:r>
      <w:r>
        <w:rPr>
          <w:lang w:val="id_ID" w:bidi="id_ID"/>
        </w:rPr>
        <w:t>) pada saat kedatangan Yesus Kristus (</w:t>
      </w:r>
      <w:r>
        <w:rPr>
          <w:lang w:val="id_ID" w:bidi="id_ID"/>
        </w:rPr>
        <w:t>Yak. 5:8</w:t>
      </w:r>
      <w:r>
        <w:rPr>
          <w:lang w:val="id_ID" w:bidi="id_ID"/>
        </w:rPr>
        <w:t>).</w:t>
      </w:r>
    </w:p>
    <w:p>
      <w:pPr/>
      <w:r>
        <w:rPr>
          <w:lang w:val="id_ID" w:bidi="id_ID"/>
        </w:rPr>
      </w:r>
      <w:r>
        <w:rPr>
          <w:b/>
          <w:lang w:val="id_ID" w:bidi="id_ID"/>
        </w:rPr>
        <w:t>Hukum.</w:t>
      </w:r>
      <w:r>
        <w:rPr>
          <w:lang w:val="id_ID" w:bidi="id_ID"/>
        </w:rPr>
        <w:t xml:space="preserve"> Yakobus mememlihara penghormatan yang tepat terhadap Hukum Musa dan tradisi Yahudi, seperti upacara penyucian yang dilakukan setelah suatu nazar (</w:t>
      </w:r>
      <w:r>
        <w:rPr>
          <w:lang w:val="id_ID" w:bidi="id_ID"/>
        </w:rPr>
        <w:t>Kisah 21:18–25</w:t>
      </w:r>
      <w:r>
        <w:rPr>
          <w:lang w:val="id_ID" w:bidi="id_ID"/>
        </w:rPr>
        <w:t>). Yakobus juga menunjukkan pemahaman yang simpatik terhadap misi kepada orang non-Yahudi dengan menyimpulkan bahwa mereka dapat diakui sebagai orang Kristen tanpa harus menjadi penganut agama Yahudi terlebih dahulu. Dalam hal ini, ia merujuk pada Perjanjian Allah dengan Nuh (</w:t>
      </w:r>
      <w:r>
        <w:rPr>
          <w:lang w:val="id_ID" w:bidi="id_ID"/>
        </w:rPr>
        <w:t>Kisah 15:19–22</w:t>
      </w:r>
      <w:r>
        <w:rPr>
          <w:lang w:val="id_ID" w:bidi="id_ID"/>
        </w:rPr>
        <w:t xml:space="preserve">; lihat </w:t>
      </w:r>
      <w:r>
        <w:rPr>
          <w:lang w:val="id_ID" w:bidi="id_ID"/>
        </w:rPr>
        <w:t>Kej. 9:1–17</w:t>
      </w:r>
      <w:r>
        <w:rPr>
          <w:lang w:val="id_ID" w:bidi="id_ID"/>
        </w:rPr>
        <w:t>). Dalam suratnya, kita menemukan Yakobus menjunjung tinggi hukum (</w:t>
      </w:r>
      <w:r>
        <w:rPr>
          <w:lang w:val="id_ID" w:bidi="id_ID"/>
        </w:rPr>
        <w:t>Yak. 1:25</w:t>
      </w:r>
      <w:r>
        <w:rPr>
          <w:lang w:val="id_ID" w:bidi="id_ID"/>
        </w:rPr>
        <w:t>) dan sekaligus mengisyaratkan penafsirannya kembali melalui Yesus Sang Mesias (</w:t>
      </w:r>
      <w:r>
        <w:rPr>
          <w:lang w:val="id_ID" w:bidi="id_ID"/>
        </w:rPr>
        <w:t>Yak.2 :8–11</w:t>
      </w:r>
      <w:r>
        <w:rPr>
          <w:lang w:val="id_ID" w:bidi="id_ID"/>
        </w:rPr>
        <w:t>).</w:t>
      </w:r>
    </w:p>
    <w:p>
      <w:pPr/>
      <w:r>
        <w:rPr>
          <w:lang w:val="id_ID" w:bidi="id_ID"/>
        </w:rPr>
      </w:r>
      <w:r>
        <w:rPr>
          <w:b/>
          <w:lang w:val="id_ID" w:bidi="id_ID"/>
        </w:rPr>
        <w:t>Ke-Yahudian</w:t>
      </w:r>
      <w:r>
        <w:rPr>
          <w:lang w:val="id_ID" w:bidi="id_ID"/>
        </w:rPr>
        <w:t xml:space="preserve">. Yakobus menggunakan simbol-simbol Yudaisme dengan sedikit kritik dan memakai penanda identitas utama Yudaisme tanpa redefinisi (berbeda dengan </w:t>
      </w:r>
      <w:r>
        <w:rPr>
          <w:lang w:val="id_ID" w:bidi="id_ID"/>
        </w:rPr>
        <w:t>Rm. 2:29</w:t>
      </w:r>
      <w:r>
        <w:rPr>
          <w:lang w:val="id_ID" w:bidi="id_ID"/>
        </w:rPr>
        <w:t>). Yakobus menyapa para pembaca sebagai "dua belas suku" (</w:t>
      </w:r>
      <w:r>
        <w:rPr>
          <w:lang w:val="id_ID" w:bidi="id_ID"/>
        </w:rPr>
        <w:t>Yak. 1:1</w:t>
      </w:r>
      <w:r>
        <w:rPr>
          <w:lang w:val="id_ID" w:bidi="id_ID"/>
        </w:rPr>
        <w:t>) dan mengidentifikasi pertemuan gereja mereka sebagai perkumpulan (</w:t>
      </w:r>
      <w:r>
        <w:rPr>
          <w:lang w:val="id_ID" w:bidi="id_ID"/>
        </w:rPr>
        <w:t>Yak. 2:2</w:t>
      </w:r>
      <w:r>
        <w:rPr>
          <w:lang w:val="id_ID" w:bidi="id_ID"/>
        </w:rPr>
        <w:t>) dengan para penatua (</w:t>
      </w:r>
      <w:r>
        <w:rPr>
          <w:lang w:val="id_ID" w:bidi="id_ID"/>
        </w:rPr>
        <w:t>Yak. 5:14</w:t>
      </w:r>
      <w:r>
        <w:rPr>
          <w:lang w:val="id_ID" w:bidi="id_ID"/>
        </w:rPr>
        <w:t>) dan guru (</w:t>
      </w:r>
      <w:r>
        <w:rPr>
          <w:lang w:val="id_ID" w:bidi="id_ID"/>
        </w:rPr>
        <w:t>Yak. 3:1</w:t>
      </w:r>
      <w:r>
        <w:rPr>
          <w:lang w:val="id_ID" w:bidi="id_ID"/>
        </w:rPr>
        <w:t>). Dia sering merujuk pada Hukum Musa (</w:t>
      </w:r>
      <w:r>
        <w:rPr>
          <w:lang w:val="id_ID" w:bidi="id_ID"/>
        </w:rPr>
        <w:t>Yak. 1:25</w:t>
      </w:r>
      <w:r>
        <w:rPr>
          <w:lang w:val="id_ID" w:bidi="id_ID"/>
        </w:rPr>
        <w:t xml:space="preserve">; </w:t>
      </w:r>
      <w:r>
        <w:rPr>
          <w:lang w:val="id_ID" w:bidi="id_ID"/>
        </w:rPr>
        <w:t>2:8–12</w:t>
      </w:r>
      <w:r>
        <w:rPr>
          <w:lang w:val="id_ID" w:bidi="id_ID"/>
        </w:rPr>
        <w:t xml:space="preserve">; </w:t>
      </w:r>
      <w:r>
        <w:rPr>
          <w:lang w:val="id_ID" w:bidi="id_ID"/>
        </w:rPr>
        <w:t>4:11</w:t>
      </w:r>
      <w:r>
        <w:rPr>
          <w:lang w:val="id_ID" w:bidi="id_ID"/>
        </w:rPr>
        <w:t>), mengutip pengakuan iman dasar Israel (</w:t>
      </w:r>
      <w:r>
        <w:rPr>
          <w:i/>
          <w:lang w:val="id_ID" w:bidi="id_ID"/>
        </w:rPr>
        <w:t>Sema</w:t>
      </w:r>
      <w:r>
        <w:rPr>
          <w:lang w:val="id_ID" w:bidi="id_ID"/>
        </w:rPr>
        <w:t xml:space="preserve">, </w:t>
      </w:r>
      <w:r>
        <w:rPr>
          <w:lang w:val="id_ID" w:bidi="id_ID"/>
        </w:rPr>
        <w:t>Yak. 2:19</w:t>
      </w:r>
      <w:r>
        <w:rPr>
          <w:lang w:val="id_ID" w:bidi="id_ID"/>
        </w:rPr>
        <w:t>), dan menyebut Allah sebagai "Tuhan semesta Alam" (</w:t>
      </w:r>
      <w:r>
        <w:rPr>
          <w:lang w:val="id_ID" w:bidi="id_ID"/>
        </w:rPr>
        <w:t>Yak. 5:4</w:t>
      </w:r>
      <w:r>
        <w:rPr>
          <w:lang w:val="id_ID" w:bidi="id_ID"/>
        </w:rPr>
        <w:t>), sebuah gelar umum dalam Perjanjian Lama untuk Allah. Yakobus juga menggunakan unsur sastra dari literatur kebijaksanaan Perjanjian Lama (</w:t>
      </w:r>
      <w:r>
        <w:rPr>
          <w:lang w:val="id_ID" w:bidi="id_ID"/>
        </w:rPr>
        <w:t>Yak. 1:5</w:t>
      </w:r>
      <w:r>
        <w:rPr>
          <w:lang w:val="id_ID" w:bidi="id_ID"/>
        </w:rPr>
        <w:t xml:space="preserve">; </w:t>
      </w:r>
      <w:r>
        <w:rPr>
          <w:lang w:val="id_ID" w:bidi="id_ID"/>
        </w:rPr>
        <w:t>3:13</w:t>
      </w:r>
      <w:r>
        <w:rPr>
          <w:lang w:val="id_ID" w:bidi="id_ID"/>
        </w:rPr>
        <w:t xml:space="preserve">, </w:t>
      </w:r>
      <w:r>
        <w:rPr>
          <w:lang w:val="id_ID" w:bidi="id_ID"/>
        </w:rPr>
        <w:t>17</w:t>
      </w:r>
      <w:r>
        <w:rPr>
          <w:lang w:val="id_ID" w:bidi="id_ID"/>
        </w:rPr>
        <w:t>) dan nasihat-nasihat kenabian (</w:t>
      </w:r>
      <w:r>
        <w:rPr>
          <w:lang w:val="id_ID" w:bidi="id_ID"/>
        </w:rPr>
        <w:t>Yak. 4:13</w:t>
      </w:r>
      <w:r>
        <w:rPr>
          <w:lang w:val="id_ID" w:bidi="id_ID"/>
        </w:rPr>
        <w:t xml:space="preserve">; </w:t>
      </w:r>
      <w:r>
        <w:rPr>
          <w:lang w:val="id_ID" w:bidi="id_ID"/>
        </w:rPr>
        <w:t>5:1</w:t>
      </w:r>
      <w:r>
        <w:rPr>
          <w:lang w:val="id_ID" w:bidi="id_ID"/>
        </w:rPr>
        <w:t xml:space="preserve">). Dia merujuk pada pahlawan Israel (Abraham, </w:t>
      </w:r>
      <w:r>
        <w:rPr>
          <w:lang w:val="id_ID" w:bidi="id_ID"/>
        </w:rPr>
        <w:t>Yak. 2:21</w:t>
      </w:r>
      <w:r>
        <w:rPr>
          <w:lang w:val="id_ID" w:bidi="id_ID"/>
        </w:rPr>
        <w:t xml:space="preserve">, </w:t>
      </w:r>
      <w:r>
        <w:rPr>
          <w:lang w:val="id_ID" w:bidi="id_ID"/>
        </w:rPr>
        <w:t>23</w:t>
      </w:r>
      <w:r>
        <w:rPr>
          <w:lang w:val="id_ID" w:bidi="id_ID"/>
        </w:rPr>
        <w:t xml:space="preserve">; Rahab, </w:t>
      </w:r>
      <w:r>
        <w:rPr>
          <w:lang w:val="id_ID" w:bidi="id_ID"/>
        </w:rPr>
        <w:t>Yak. 2:25</w:t>
      </w:r>
      <w:r>
        <w:rPr>
          <w:lang w:val="id_ID" w:bidi="id_ID"/>
        </w:rPr>
        <w:t xml:space="preserve">; Ayub, </w:t>
      </w:r>
      <w:r>
        <w:rPr>
          <w:lang w:val="id_ID" w:bidi="id_ID"/>
        </w:rPr>
        <w:t>5:11</w:t>
      </w:r>
      <w:r>
        <w:rPr>
          <w:lang w:val="id_ID" w:bidi="id_ID"/>
        </w:rPr>
        <w:t xml:space="preserve">; Elia, </w:t>
      </w:r>
      <w:r>
        <w:rPr>
          <w:lang w:val="id_ID" w:bidi="id_ID"/>
        </w:rPr>
        <w:t>5:17</w:t>
      </w:r>
      <w:r>
        <w:rPr>
          <w:lang w:val="id_ID" w:bidi="id_ID"/>
        </w:rPr>
        <w:t>). Namun, ia tidak secara eksplisit menyebutkan elemen seremonial Yudaisme, seperti Sabat, sunat, atau hukum makanan.</w:t>
      </w:r>
    </w:p>
    <w:p>
      <w:pPr/>
      <w:r>
        <w:rPr>
          <w:lang w:val="id_ID" w:bidi="id_ID"/>
        </w:rPr>
      </w:r>
      <w:r>
        <w:rPr>
          <w:b/>
          <w:lang w:val="id_ID" w:bidi="id_ID"/>
        </w:rPr>
        <w:t>Perbuatan</w:t>
      </w:r>
      <w:r>
        <w:rPr>
          <w:lang w:val="id_ID" w:bidi="id_ID"/>
        </w:rPr>
        <w:t>. Perbedaan yang terlihat antara Yakobus dan Paulus mengenai "perbuatan baik" harus dipahami dalam konteks sejarah dan teologi mereka yang berbeda. Baik Paulus maupun Yakobus percaya bahwa hanya Allah, melalui inisiatif kasih karunia-Nya, yang dapat mengatasi masalah dosa manusia. Keduanya juga sepakat bahwa seseorang harus menanggapi tawaran keselamatan Allah dengan iman. Namun, mereka memiliki penekanan yang berbeda. Paulus, yang sering berhadapan dengan orang Kristen Yahudi karena persyaratan yang mereka coba tetapkan kepada orang non-Yahudi, menekankan bahwa perbuatan hukum tidak menghasilkan keselamatan (</w:t>
      </w:r>
      <w:r>
        <w:rPr>
          <w:lang w:val="id_ID" w:bidi="id_ID"/>
        </w:rPr>
        <w:t>Ef. 2:8–9</w:t>
      </w:r>
      <w:r>
        <w:rPr>
          <w:lang w:val="id_ID" w:bidi="id_ID"/>
        </w:rPr>
        <w:t>)—Orang-orang tidak dapat menjadi benar di hadapan Allah dengan "melakukan apa yang diperintahkan hukum" (</w:t>
      </w:r>
      <w:r>
        <w:rPr>
          <w:lang w:val="id_ID" w:bidi="id_ID"/>
        </w:rPr>
        <w:t>Rm. 3:20</w:t>
      </w:r>
      <w:r>
        <w:rPr>
          <w:lang w:val="id_ID" w:bidi="id_ID"/>
        </w:rPr>
        <w:t xml:space="preserve">, </w:t>
      </w:r>
      <w:r>
        <w:rPr>
          <w:lang w:val="id_ID" w:bidi="id_ID"/>
        </w:rPr>
        <w:t>28</w:t>
      </w:r>
      <w:r>
        <w:rPr>
          <w:lang w:val="id_ID" w:bidi="id_ID"/>
        </w:rPr>
        <w:t xml:space="preserve">; </w:t>
      </w:r>
      <w:r>
        <w:rPr>
          <w:lang w:val="id_ID" w:bidi="id_ID"/>
        </w:rPr>
        <w:t>Gal. 2:16</w:t>
      </w:r>
      <w:r>
        <w:rPr>
          <w:lang w:val="id_ID" w:bidi="id_ID"/>
        </w:rPr>
        <w:t>) atau, memang, dengan apa pun yang mungkin mereka bisa lakukan (</w:t>
      </w:r>
      <w:r>
        <w:rPr>
          <w:lang w:val="id_ID" w:bidi="id_ID"/>
        </w:rPr>
        <w:t>Rm. 4:3–5</w:t>
      </w:r>
      <w:r>
        <w:rPr>
          <w:lang w:val="id_ID" w:bidi="id_ID"/>
        </w:rPr>
        <w:t>). Sementara itu, Yakobus menekankan bahwa perbuatan baik adalah bukti dari hubungan yang tulus dengan Allah berdasarkan iman. Iman alkitabiah yang sejati akan selalu menghasilkan perbuatan baik yang menyenangkan Allah. Yakobus menunjukkan bahwa iman tidak dapat direduksi menjadi sekadar pengakuan kebenaran (</w:t>
      </w:r>
      <w:r>
        <w:rPr>
          <w:lang w:val="id_ID" w:bidi="id_ID"/>
        </w:rPr>
        <w:t>Yak. 2:19</w:t>
      </w:r>
      <w:r>
        <w:rPr>
          <w:lang w:val="id_ID" w:bidi="id_ID"/>
        </w:rPr>
        <w:t>), dan kesetiaan tidak mengizinkan kesetiaan yang terbagi antara Allah dan dunia (</w:t>
      </w:r>
      <w:r>
        <w:rPr>
          <w:lang w:val="id_ID" w:bidi="id_ID"/>
        </w:rPr>
        <w:t>Yak. 1:8</w:t>
      </w:r>
      <w:r>
        <w:rPr>
          <w:lang w:val="id_ID" w:bidi="id_ID"/>
        </w:rPr>
        <w:t xml:space="preserve">; </w:t>
      </w:r>
      <w:r>
        <w:rPr>
          <w:lang w:val="id_ID" w:bidi="id_ID"/>
        </w:rPr>
        <w:t>4:4</w:t>
      </w:r>
      <w:r>
        <w:rPr>
          <w:lang w:val="id_ID" w:bidi="id_ID"/>
        </w:rPr>
        <w:t xml:space="preserve">, </w:t>
      </w:r>
      <w:r>
        <w:rPr>
          <w:lang w:val="id_ID" w:bidi="id_ID"/>
        </w:rPr>
        <w:t>7</w:t>
      </w:r>
      <w:r>
        <w:rPr>
          <w:lang w:val="id_ID" w:bidi="id_ID"/>
        </w:rPr>
        <w:t>).</w:t>
      </w:r>
    </w:p>
    <w:p>
      <w:pPr/>
      <w:r>
        <w:rPr>
          <w:lang w:val="id_ID" w:bidi="id_ID"/>
        </w:rPr>
      </w:r>
      <w:r>
        <w:rPr>
          <w:b/>
          <w:lang w:val="id_ID" w:bidi="id_ID"/>
        </w:rPr>
        <w:t>Penindasan.</w:t>
      </w:r>
      <w:r>
        <w:rPr>
          <w:lang w:val="id_ID" w:bidi="id_ID"/>
        </w:rPr>
        <w:t xml:space="preserve"> Surat Yakobus membantu kita memahami bagaimana orang Kristen seharusnya hidup ketika mereka menjadi kelompok minoritas di tengah masyarakat yang menindas dan non-Kristen. Yakobus mendorong para pembacanya untuk bertahan dalam cobaan dengan penuh keteguhan dan menunjukkan karakter Kristen yang konsisten. Surat ini penuh dengan nasihat dan kebijaksanaan ilahi bagi kita saat ini, terutama ketika kita menghadapi kesulitan dalam masyarakat terkait iman kita.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