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NUM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民數記</w:t>
      </w:r>
      <w:r>
        <w:rPr>
          <w:lang w:val="zh_TW" w:bidi="zh_TW"/>
        </w:rPr>
      </w:r>
    </w:p>
    <w:p>
      <w:pPr/>
      <w:r>
        <w:rPr>
          <w:lang w:val="zh_TW" w:bidi="zh_TW"/>
        </w:rPr>
      </w:r>
      <w:r>
        <w:rPr>
          <w:lang w:val="zh_TW" w:bidi="zh_TW"/>
        </w:rPr>
        <w:t>民數記訴說了以色列人在曠野的旅程，他們從西奈山出發，前往應許之地。摩西帶領以色列人從埃及前往迦南時，神在曠野的熬煉中試驗祂的百姓，看看他們能否作為一個合一的民族忠心於祂。民數記記錄了他們的成功與失敗。以色列的悖逆導致神的審判，但神始終以忍耐和堅持培養新的一代來成就祂的計劃。透過豐富的故事和詳細闡述的律法，民數記為我們展現了神的性情、祂的約，以及神對祂百姓的計劃。</w:t>
      </w:r>
    </w:p>
    <w:p>
      <w:pPr>
        <w:pStyle w:val="Heading2"/>
      </w:pPr>
      <w:r>
        <w:rPr>
          <w:lang w:val="zh_TW" w:bidi="zh_TW"/>
        </w:rPr>
        <w:t>背景</w:t>
      </w:r>
    </w:p>
    <w:p>
      <w:pPr/>
      <w:r>
        <w:rPr>
          <w:lang w:val="zh_TW" w:bidi="zh_TW"/>
        </w:rPr>
      </w:r>
      <w:r>
        <w:rPr>
          <w:lang w:val="zh_TW" w:bidi="zh_TW"/>
        </w:rPr>
        <w:t>以色列人離開埃及後，前往西奈山，神在那裡賜給他們律法（見出埃及記）。他們在西奈山停留了一年，然後穿越曠野，進入外約旦（約旦河東的地區），並在摩押平原安營。當那批從埃及出來的世代相繼去世、新的一代正準備進入應許之地時，神在曠野試驗以色列人。民數記指示在摩押平原安營的新一代要順服耶和華。</w:t>
      </w:r>
    </w:p>
    <w:p>
      <w:pPr/>
      <w:r>
        <w:rPr>
          <w:lang w:val="zh_TW" w:bidi="zh_TW"/>
        </w:rPr>
      </w:r>
      <w:r>
        <w:rPr>
          <w:lang w:val="zh_TW" w:bidi="zh_TW"/>
        </w:rPr>
        <w:t>以色列在這段曠野漂流中被塑造和煉淨。透過摩西的撰述（以及日後文士們和編輯者的整理），民數記使後來的世代能聽聞這段歷史。因此，它成為希伯來民族記憶的重要組成。民數記的寫作旨在讓人從歷史中學習，以免重蹈覆轍。</w:t>
      </w:r>
    </w:p>
    <w:p>
      <w:pPr>
        <w:pStyle w:val="Heading2"/>
      </w:pPr>
      <w:r>
        <w:rPr>
          <w:lang w:val="zh_TW" w:bidi="zh_TW"/>
        </w:rPr>
        <w:t>概要</w:t>
      </w:r>
    </w:p>
    <w:p>
      <w:pPr/>
      <w:r>
        <w:rPr>
          <w:lang w:val="zh_TW" w:bidi="zh_TW"/>
        </w:rPr>
      </w:r>
      <w:r>
        <w:rPr>
          <w:lang w:val="zh_TW" w:bidi="zh_TW"/>
        </w:rPr>
        <w:t>民數記的結構來自以色列人曠野旅程的三個階段：（1）以色列在西奈山預備啟程的十九天（</w:t>
      </w:r>
      <w:r>
        <w:rPr>
          <w:lang w:val="zh_TW" w:bidi="zh_TW"/>
        </w:rPr>
        <w:t>1:1–10:10</w:t>
      </w:r>
      <w:r>
        <w:rPr>
          <w:lang w:val="zh_TW" w:bidi="zh_TW"/>
        </w:rPr>
        <w:t>），（2）從西奈山到摩押平原的三十九年旅程（</w:t>
      </w:r>
      <w:r>
        <w:rPr>
          <w:lang w:val="zh_TW" w:bidi="zh_TW"/>
        </w:rPr>
        <w:t>10:11–22:1</w:t>
      </w:r>
      <w:r>
        <w:rPr>
          <w:lang w:val="zh_TW" w:bidi="zh_TW"/>
        </w:rPr>
        <w:t>），以及（3）以色列即將進入迦南地前，在摩押平原安營的最後幾個月（</w:t>
      </w:r>
      <w:r>
        <w:rPr>
          <w:lang w:val="zh_TW" w:bidi="zh_TW"/>
        </w:rPr>
        <w:t>21:1–36:13</w:t>
      </w:r>
      <w:r>
        <w:rPr>
          <w:lang w:val="zh_TW" w:bidi="zh_TW"/>
        </w:rPr>
        <w:t>）。</w:t>
      </w:r>
    </w:p>
    <w:p>
      <w:pPr/>
      <w:r>
        <w:rPr>
          <w:lang w:val="zh_TW" w:bidi="zh_TW"/>
        </w:rPr>
      </w:r>
      <w:r>
        <w:rPr>
          <w:lang w:val="zh_TW" w:bidi="zh_TW"/>
        </w:rPr>
        <w:t>兩次數點以色列適齡參軍男子的數目（</w:t>
      </w:r>
      <w:r>
        <w:rPr>
          <w:lang w:val="zh_TW" w:bidi="zh_TW"/>
        </w:rPr>
        <w:t>1–4</w:t>
      </w:r>
      <w:r>
        <w:rPr>
          <w:lang w:val="zh_TW" w:bidi="zh_TW"/>
        </w:rPr>
        <w:t>章，</w:t>
      </w:r>
      <w:r>
        <w:rPr>
          <w:lang w:val="zh_TW" w:bidi="zh_TW"/>
        </w:rPr>
        <w:t>26</w:t>
      </w:r>
      <w:r>
        <w:rPr>
          <w:lang w:val="zh_TW" w:bidi="zh_TW"/>
        </w:rPr>
        <w:t>章）也形塑了民數記的結構。這些人口調查主要是為了衡量以色列的軍力和利未人的數目，書卷開頭與接近結尾的統計數字代表著兩個完全不同的世代。第一次人口調查統計的是那悖逆的世代，他們離開埃及、在西奈山領受律法，卻死在曠野。第二次人口調查則是計算進入應許之地的新一代以色列人。兩次統計數字相當接近，這顯示新的一代完全取代了舊的世代。</w:t>
      </w:r>
    </w:p>
    <w:p>
      <w:pPr/>
      <w:r>
        <w:rPr>
          <w:lang w:val="zh_TW" w:bidi="zh_TW"/>
        </w:rPr>
      </w:r>
      <w:r>
        <w:rPr>
          <w:lang w:val="zh_TW" w:bidi="zh_TW"/>
        </w:rPr>
        <w:t>從埃及離開的希伯來人在旅程中屢次悖逆神（</w:t>
      </w:r>
      <w:r>
        <w:rPr>
          <w:lang w:val="zh_TW" w:bidi="zh_TW"/>
        </w:rPr>
        <w:t>11，</w:t>
      </w:r>
      <w:r>
        <w:rPr>
          <w:lang w:val="zh_TW" w:bidi="zh_TW"/>
        </w:rPr>
        <w:t>12，</w:t>
      </w:r>
      <w:r>
        <w:rPr>
          <w:lang w:val="zh_TW" w:bidi="zh_TW"/>
        </w:rPr>
        <w:t>14，</w:t>
      </w:r>
      <w:r>
        <w:rPr>
          <w:lang w:val="zh_TW" w:bidi="zh_TW"/>
        </w:rPr>
        <w:t>16–17，</w:t>
      </w:r>
      <w:r>
        <w:rPr>
          <w:lang w:val="zh_TW" w:bidi="zh_TW"/>
        </w:rPr>
        <w:t>20，</w:t>
      </w:r>
      <w:r>
        <w:rPr>
          <w:lang w:val="zh_TW" w:bidi="zh_TW"/>
        </w:rPr>
        <w:t>25</w:t>
      </w:r>
      <w:r>
        <w:rPr>
          <w:lang w:val="zh_TW" w:bidi="zh_TW"/>
        </w:rPr>
        <w:t>章）。他們全數死在曠野，唯有約書亞和迦勒因其信心的榜樣得以存留（</w:t>
      </w:r>
      <w:r>
        <w:rPr>
          <w:lang w:val="zh_TW" w:bidi="zh_TW"/>
        </w:rPr>
        <w:t>13:30，</w:t>
      </w:r>
      <w:r>
        <w:rPr>
          <w:lang w:val="zh_TW" w:bidi="zh_TW"/>
        </w:rPr>
        <w:t>14:6–9</w:t>
      </w:r>
      <w:r>
        <w:rPr>
          <w:lang w:val="zh_TW" w:bidi="zh_TW"/>
        </w:rPr>
        <w:t>）。</w:t>
      </w:r>
    </w:p>
    <w:p>
      <w:pPr/>
      <w:r>
        <w:rPr>
          <w:lang w:val="zh_TW" w:bidi="zh_TW"/>
        </w:rPr>
      </w:r>
      <w:r>
        <w:rPr>
          <w:lang w:val="zh_TW" w:bidi="zh_TW"/>
        </w:rPr>
        <w:t>進入迦南之前，以色列的軍隊曾多次經受考驗（</w:t>
      </w:r>
      <w:r>
        <w:rPr>
          <w:lang w:val="zh_TW" w:bidi="zh_TW"/>
        </w:rPr>
        <w:t>14，</w:t>
      </w:r>
      <w:r>
        <w:rPr>
          <w:lang w:val="zh_TW" w:bidi="zh_TW"/>
        </w:rPr>
        <w:t>21，</w:t>
      </w:r>
      <w:r>
        <w:rPr>
          <w:lang w:val="zh_TW" w:bidi="zh_TW"/>
        </w:rPr>
        <w:t>31</w:t>
      </w:r>
      <w:r>
        <w:rPr>
          <w:lang w:val="zh_TW" w:bidi="zh_TW"/>
        </w:rPr>
        <w:t>章），民數記也記載了巴蘭的故事（</w:t>
      </w:r>
      <w:r>
        <w:rPr>
          <w:lang w:val="zh_TW" w:bidi="zh_TW"/>
        </w:rPr>
        <w:t>22–24</w:t>
      </w:r>
      <w:r>
        <w:rPr>
          <w:lang w:val="zh_TW" w:bidi="zh_TW"/>
        </w:rPr>
        <w:t>章）。此外還包括外約旦（約旦河東）地區定居的安排（</w:t>
      </w:r>
      <w:r>
        <w:rPr>
          <w:lang w:val="zh_TW" w:bidi="zh_TW"/>
        </w:rPr>
        <w:t>32</w:t>
      </w:r>
      <w:r>
        <w:rPr>
          <w:lang w:val="zh_TW" w:bidi="zh_TW"/>
        </w:rPr>
        <w:t>章），回顧曠野的旅程（</w:t>
      </w:r>
      <w:r>
        <w:rPr>
          <w:lang w:val="zh_TW" w:bidi="zh_TW"/>
        </w:rPr>
        <w:t>33</w:t>
      </w:r>
      <w:r>
        <w:rPr>
          <w:lang w:val="zh_TW" w:bidi="zh_TW"/>
        </w:rPr>
        <w:t>章），最後摩西預見以色列人將佔據迦南地（</w:t>
      </w:r>
      <w:r>
        <w:rPr>
          <w:lang w:val="zh_TW" w:bidi="zh_TW"/>
        </w:rPr>
        <w:t>34–36</w:t>
      </w:r>
      <w:r>
        <w:rPr>
          <w:lang w:val="zh_TW" w:bidi="zh_TW"/>
        </w:rPr>
        <w:t>章）。</w:t>
      </w:r>
    </w:p>
    <w:p>
      <w:pPr/>
      <w:r>
        <w:rPr>
          <w:lang w:val="zh_TW" w:bidi="zh_TW"/>
        </w:rPr>
      </w:r>
      <w:r>
        <w:rPr>
          <w:lang w:val="zh_TW" w:bidi="zh_TW"/>
        </w:rPr>
        <w:t>民數記是一個典型案例，展示出以色列人在日常生活中如何遵守——以及未能遵守——約的規範。</w:t>
      </w:r>
    </w:p>
    <w:p>
      <w:pPr>
        <w:pStyle w:val="Heading2"/>
      </w:pPr>
      <w:r>
        <w:rPr>
          <w:lang w:val="zh_TW" w:bidi="zh_TW"/>
        </w:rPr>
        <w:t>作者</w:t>
      </w:r>
    </w:p>
    <w:p>
      <w:pPr/>
      <w:r>
        <w:rPr>
          <w:lang w:val="zh_TW" w:bidi="zh_TW"/>
        </w:rPr>
      </w:r>
      <w:r>
        <w:rPr>
          <w:lang w:val="zh_TW" w:bidi="zh_TW"/>
        </w:rPr>
        <w:t>與摩西五經的其它書卷一樣，傳統上認為摩西是民數記的作者。現代學術興起之前，猶太學者和基督教學者普遍認為作者是摩西；舊約、新約以及諸多古代猶太文獻也持相同的看法。整部摩西五經中多次提到摩西書寫記錄的角色（例如，</w:t>
      </w:r>
      <w:r>
        <w:rPr>
          <w:lang w:val="zh_TW" w:bidi="zh_TW"/>
        </w:rPr>
        <w:t>民33:1–2</w:t>
      </w:r>
      <w:r>
        <w:rPr>
          <w:lang w:val="zh_TW" w:bidi="zh_TW"/>
        </w:rPr>
        <w:t>）。除了諸如摩西去世的記載（</w:t>
      </w:r>
      <w:r>
        <w:rPr>
          <w:lang w:val="zh_TW" w:bidi="zh_TW"/>
        </w:rPr>
        <w:t>申34章</w:t>
      </w:r>
      <w:r>
        <w:rPr>
          <w:lang w:val="zh_TW" w:bidi="zh_TW"/>
        </w:rPr>
        <w:t>）這類經文外，考量到出埃及和征服迦南時期的識字水平和民數記本身的內容，並沒有必要排除摩西作為主要作者。此外，摩西有可能督導這些以摩西之名編撰的書卷，或像使徒保羅一樣，口述部分內容並由他人記錄下來。</w:t>
      </w:r>
    </w:p>
    <w:p>
      <w:pPr/>
      <w:r>
        <w:rPr>
          <w:lang w:val="zh_TW" w:bidi="zh_TW"/>
        </w:rPr>
      </w:r>
      <w:r>
        <w:rPr>
          <w:lang w:val="zh_TW" w:bidi="zh_TW"/>
        </w:rPr>
        <w:t>許多學者假設，摩西五經是由後來的編輯者根據各種不同來源整理而成，但這種「底本說」（Documentary Hypothesis）仍然是推測性的（見</w:t>
      </w:r>
      <w:r>
        <w:rPr>
          <w:lang w:val="zh_TW" w:bidi="zh_TW"/>
        </w:rPr>
        <w:t>創世記簡介，</w:t>
      </w:r>
      <w:r>
        <w:rPr>
          <w:lang w:val="zh_TW" w:bidi="zh_TW"/>
        </w:rPr>
        <w:t>「作者」）。即使考慮到民數記日後可能經過文士和編輯者修改，它基本上仍呈現為摩西的著作。</w:t>
      </w:r>
    </w:p>
    <w:p>
      <w:pPr>
        <w:pStyle w:val="Heading2"/>
      </w:pPr>
      <w:r>
        <w:rPr>
          <w:lang w:val="zh_TW" w:bidi="zh_TW"/>
        </w:rPr>
        <w:t>日期與地理位置</w:t>
      </w:r>
    </w:p>
    <w:p>
      <w:pPr/>
      <w:r>
        <w:rPr>
          <w:lang w:val="zh_TW" w:bidi="zh_TW"/>
        </w:rPr>
      </w:r>
      <w:r>
        <w:rPr>
          <w:lang w:val="zh_TW" w:bidi="zh_TW"/>
        </w:rPr>
        <w:t>無論以較早的年代（公元前1400年代）或較晚的年代（公元前1200年代）來推估出埃及與征服迦南的時間，民數記相關的地理、文化和語言資料都有一定的解釋空間（見</w:t>
      </w:r>
      <w:r>
        <w:rPr>
          <w:lang w:val="zh_TW" w:bidi="zh_TW"/>
        </w:rPr>
        <w:t>出埃及記簡介</w:t>
      </w:r>
      <w:r>
        <w:rPr>
          <w:lang w:val="zh_TW" w:bidi="zh_TW"/>
        </w:rPr>
        <w:t>，</w:t>
      </w:r>
      <w:r>
        <w:rPr>
          <w:lang w:val="zh_TW" w:bidi="zh_TW"/>
        </w:rPr>
        <w:t>「出埃及的日期」）。</w:t>
      </w:r>
    </w:p>
    <w:p>
      <w:pPr/>
      <w:r>
        <w:rPr>
          <w:lang w:val="zh_TW" w:bidi="zh_TW"/>
        </w:rPr>
      </w:r>
      <w:r>
        <w:rPr>
          <w:lang w:val="zh_TW" w:bidi="zh_TW"/>
        </w:rPr>
        <w:t>來自西奈、南地和外約旦（以東、摩押和亞捫）的考古證據，對於研究征服迦南的歷史背景提供了重要的貢獻。然而，學者們尚無法判定曠野旅程中許多地名的確切位置，對於民數記中提到的許多其它地點，也存在不同的考據難題。</w:t>
      </w:r>
    </w:p>
    <w:p>
      <w:pPr>
        <w:pStyle w:val="Heading2"/>
      </w:pPr>
      <w:r>
        <w:rPr>
          <w:lang w:val="zh_TW" w:bidi="zh_TW"/>
        </w:rPr>
        <w:t>文學問題</w:t>
      </w:r>
    </w:p>
    <w:p>
      <w:pPr/>
      <w:r>
        <w:rPr>
          <w:lang w:val="zh_TW" w:bidi="zh_TW"/>
        </w:rPr>
      </w:r>
      <w:r>
        <w:rPr>
          <w:lang w:val="zh_TW" w:bidi="zh_TW"/>
        </w:rPr>
        <w:t>書卷名稱。「民數記」這個名稱來自此書卷對統計數據的重視（見</w:t>
      </w:r>
      <w:r>
        <w:rPr>
          <w:lang w:val="zh_TW" w:bidi="zh_TW"/>
        </w:rPr>
        <w:t>1–4，</w:t>
      </w:r>
      <w:r>
        <w:rPr>
          <w:lang w:val="zh_TW" w:bidi="zh_TW"/>
        </w:rPr>
        <w:t>26</w:t>
      </w:r>
      <w:r>
        <w:rPr>
          <w:lang w:val="zh_TW" w:bidi="zh_TW"/>
        </w:rPr>
        <w:t xml:space="preserve"> 章）。民數記（Numbers）的英文名稱由拉丁文</w:t>
      </w:r>
      <w:r>
        <w:rPr>
          <w:i/>
          <w:lang w:val="zh_TW" w:bidi="zh_TW"/>
        </w:rPr>
        <w:t>Numeri</w:t>
      </w:r>
      <w:r>
        <w:rPr>
          <w:lang w:val="zh_TW" w:bidi="zh_TW"/>
        </w:rPr>
        <w:t>和希臘文</w:t>
      </w:r>
      <w:r>
        <w:rPr>
          <w:i/>
          <w:lang w:val="zh_TW" w:bidi="zh_TW"/>
        </w:rPr>
        <w:t>Arithmoi</w:t>
      </w:r>
      <w:r>
        <w:rPr>
          <w:lang w:val="zh_TW" w:bidi="zh_TW"/>
        </w:rPr>
        <w:t>翻譯而來，這些名稱則來自舊約拉丁文武加大譯本和希臘文七十士譯本。書卷中的人口調查記錄顯示了數字的精確性：離開埃及的以色列人並非最終渡過約旦河進入迦南的那批人。在希伯來聖經中，這卷書被稱為bemidbar（「在曠野中」），即</w:t>
      </w:r>
      <w:r>
        <w:rPr>
          <w:lang w:val="zh_TW" w:bidi="zh_TW"/>
        </w:rPr>
        <w:t>民數記一章1節</w:t>
      </w:r>
      <w:r>
        <w:rPr>
          <w:lang w:val="zh_TW" w:bidi="zh_TW"/>
        </w:rPr>
        <w:t>希伯來原文中的第四個字詞。這個名稱十分貼切，因為它反映了這卷書的地理背景與時間架構。</w:t>
      </w:r>
    </w:p>
    <w:p>
      <w:pPr/>
      <w:r>
        <w:rPr>
          <w:lang w:val="zh_TW" w:bidi="zh_TW"/>
        </w:rPr>
      </w:r>
      <w:r>
        <w:rPr>
          <w:lang w:val="zh_TW" w:bidi="zh_TW"/>
        </w:rPr>
        <w:t>文學類型。民數記包含多種常見的文學體裁，例如敘事（例如，</w:t>
      </w:r>
      <w:r>
        <w:rPr>
          <w:lang w:val="zh_TW" w:bidi="zh_TW"/>
        </w:rPr>
        <w:t>10:11–14:45</w:t>
      </w:r>
      <w:r>
        <w:rPr>
          <w:lang w:val="zh_TW" w:bidi="zh_TW"/>
        </w:rPr>
        <w:t>）、詩歌（例如，</w:t>
      </w:r>
      <w:r>
        <w:rPr>
          <w:lang w:val="zh_TW" w:bidi="zh_TW"/>
        </w:rPr>
        <w:t>23–24</w:t>
      </w:r>
      <w:r>
        <w:rPr>
          <w:lang w:val="zh_TW" w:bidi="zh_TW"/>
        </w:rPr>
        <w:t>章）和律法（例如，</w:t>
      </w:r>
      <w:r>
        <w:rPr>
          <w:lang w:val="zh_TW" w:bidi="zh_TW"/>
        </w:rPr>
        <w:t>4–6</w:t>
      </w:r>
      <w:r>
        <w:rPr>
          <w:lang w:val="zh_TW" w:bidi="zh_TW"/>
        </w:rPr>
        <w:t>章）。此外，書中還包含詳細的事件與數據清單，例如人口調查記錄（例如，</w:t>
      </w:r>
      <w:r>
        <w:rPr>
          <w:lang w:val="zh_TW" w:bidi="zh_TW"/>
        </w:rPr>
        <w:t>1–4</w:t>
      </w:r>
      <w:r>
        <w:rPr>
          <w:lang w:val="zh_TW" w:bidi="zh_TW"/>
        </w:rPr>
        <w:t>章）、供物（例如，</w:t>
      </w:r>
      <w:r>
        <w:rPr>
          <w:lang w:val="zh_TW" w:bidi="zh_TW"/>
        </w:rPr>
        <w:t>7</w:t>
      </w:r>
      <w:r>
        <w:rPr>
          <w:lang w:val="zh_TW" w:bidi="zh_TW"/>
        </w:rPr>
        <w:t>章）和行走路線（例如，</w:t>
      </w:r>
      <w:r>
        <w:rPr>
          <w:lang w:val="zh_TW" w:bidi="zh_TW"/>
        </w:rPr>
        <w:t>33</w:t>
      </w:r>
      <w:r>
        <w:rPr>
          <w:lang w:val="zh_TW" w:bidi="zh_TW"/>
        </w:rPr>
        <w:t>章）。另有英文譯本將各種散文式的清單整理成簡明的表格（</w:t>
      </w:r>
      <w:r>
        <w:rPr>
          <w:lang w:val="zh_TW" w:bidi="zh_TW"/>
        </w:rPr>
        <w:t>1–2</w:t>
      </w:r>
      <w:r>
        <w:rPr>
          <w:lang w:val="zh_TW" w:bidi="zh_TW"/>
        </w:rPr>
        <w:t>，</w:t>
      </w:r>
      <w:r>
        <w:rPr>
          <w:lang w:val="zh_TW" w:bidi="zh_TW"/>
        </w:rPr>
        <w:t>13，</w:t>
      </w:r>
      <w:r>
        <w:rPr>
          <w:lang w:val="zh_TW" w:bidi="zh_TW"/>
        </w:rPr>
        <w:t>34</w:t>
      </w:r>
      <w:r>
        <w:rPr>
          <w:lang w:val="zh_TW" w:bidi="zh_TW"/>
        </w:rPr>
        <w:t>章）。</w:t>
      </w:r>
    </w:p>
    <w:p>
      <w:pPr/>
      <w:r>
        <w:rPr>
          <w:lang w:val="zh_TW" w:bidi="zh_TW"/>
        </w:rPr>
      </w:r>
      <w:r>
        <w:rPr>
          <w:lang w:val="zh_TW" w:bidi="zh_TW"/>
        </w:rPr>
        <w:t>文學來源。希伯來聖經提到了摩西（或後來的編輯者）可能參考過的一些古代資料，例如</w:t>
      </w:r>
      <w:r>
        <w:rPr>
          <w:i/>
          <w:lang w:val="zh_TW" w:bidi="zh_TW"/>
        </w:rPr>
        <w:t>耶和華的戰記</w:t>
      </w:r>
      <w:r>
        <w:rPr>
          <w:lang w:val="zh_TW" w:bidi="zh_TW"/>
        </w:rPr>
        <w:t>（</w:t>
      </w:r>
      <w:r>
        <w:rPr>
          <w:i/>
          <w:lang w:val="zh_TW" w:bidi="zh_TW"/>
        </w:rPr>
        <w:t>The Book of the Wars of the Lord</w:t>
      </w:r>
      <w:r>
        <w:rPr>
          <w:lang w:val="zh_TW" w:bidi="zh_TW"/>
        </w:rPr>
        <w:t>，</w:t>
      </w:r>
      <w:r>
        <w:rPr>
          <w:lang w:val="zh_TW" w:bidi="zh_TW"/>
        </w:rPr>
        <w:t>21:14–15</w:t>
      </w:r>
      <w:r>
        <w:rPr>
          <w:lang w:val="zh_TW" w:bidi="zh_TW"/>
        </w:rPr>
        <w:t>）、井之歌（</w:t>
      </w:r>
      <w:r>
        <w:rPr>
          <w:lang w:val="zh_TW" w:bidi="zh_TW"/>
        </w:rPr>
        <w:t>21:17–18</w:t>
      </w:r>
      <w:r>
        <w:rPr>
          <w:lang w:val="zh_TW" w:bidi="zh_TW"/>
        </w:rPr>
        <w:t>）和希實本之歌（</w:t>
      </w:r>
      <w:r>
        <w:rPr>
          <w:lang w:val="zh_TW" w:bidi="zh_TW"/>
        </w:rPr>
        <w:t>21:27–30</w:t>
      </w:r>
      <w:r>
        <w:rPr>
          <w:lang w:val="zh_TW" w:bidi="zh_TW"/>
        </w:rPr>
        <w:t>）。第</w:t>
      </w:r>
      <w:r>
        <w:rPr>
          <w:lang w:val="zh_TW" w:bidi="zh_TW"/>
        </w:rPr>
        <w:t>二十三至二十四章</w:t>
      </w:r>
      <w:r>
        <w:rPr>
          <w:lang w:val="zh_TW" w:bidi="zh_TW"/>
        </w:rPr>
        <w:t>收錄了非以色列先知巴蘭的多首詩歌；</w:t>
      </w:r>
      <w:r>
        <w:rPr>
          <w:lang w:val="zh_TW" w:bidi="zh_TW"/>
        </w:rPr>
        <w:t>三十一章32至47節</w:t>
      </w:r>
      <w:r>
        <w:rPr>
          <w:lang w:val="zh_TW" w:bidi="zh_TW"/>
        </w:rPr>
        <w:t>似乎是根據戰利品的真實記錄；第</w:t>
      </w:r>
      <w:r>
        <w:rPr>
          <w:lang w:val="zh_TW" w:bidi="zh_TW"/>
        </w:rPr>
        <w:t>三十三章</w:t>
      </w:r>
      <w:r>
        <w:rPr>
          <w:lang w:val="zh_TW" w:bidi="zh_TW"/>
        </w:rPr>
        <w:t>則可能源於一份書面日記。</w:t>
      </w:r>
    </w:p>
    <w:p>
      <w:pPr/>
      <w:r>
        <w:rPr>
          <w:lang w:val="zh_TW" w:bidi="zh_TW"/>
        </w:rPr>
      </w:r>
      <w:r>
        <w:rPr>
          <w:lang w:val="zh_TW" w:bidi="zh_TW"/>
        </w:rPr>
        <w:t>文本。民數記的希伯來文本保存狀況極佳，只有</w:t>
      </w:r>
      <w:r>
        <w:rPr>
          <w:lang w:val="zh_TW" w:bidi="zh_TW"/>
        </w:rPr>
        <w:t>二十一至二十四</w:t>
      </w:r>
      <w:r>
        <w:rPr>
          <w:lang w:val="zh_TW" w:bidi="zh_TW"/>
        </w:rPr>
        <w:t>章中的某些詩歌部分較難解讀。希伯來文本保存良好的情形，可以從比較希伯來文馬所拉抄本（公元900年間）與死海古卷中更早期的民數記殘片（公元前150年至公元125年）得出結論，兩者之間僅有些微而無關緊要的差異。馬所拉抄本、希臘文舊約（七十士譯本）對應章節和撒馬利亞五經（Samaritan Pentateuch）之間有較大的差異，但這些差異呈現出刻意不同的解釋，而不只是抄本的異文讀法。</w:t>
      </w:r>
    </w:p>
    <w:p>
      <w:pPr>
        <w:pStyle w:val="Heading2"/>
      </w:pPr>
      <w:r>
        <w:rPr>
          <w:lang w:val="zh_TW" w:bidi="zh_TW"/>
        </w:rPr>
        <w:t>意義與信息</w:t>
      </w:r>
    </w:p>
    <w:p>
      <w:pPr/>
      <w:r>
        <w:rPr>
          <w:lang w:val="zh_TW" w:bidi="zh_TW"/>
        </w:rPr>
      </w:r>
      <w:r>
        <w:rPr>
          <w:lang w:val="zh_TW" w:bidi="zh_TW"/>
        </w:rPr>
        <w:t>民數記說明了神如何供應祂的百姓，並記錄以色列人一再違背耶和華的命令、反覆悖逆祂的歷史。以色列人在曠野漂流四十年，並非因為迷路，而是因為他們的不信與悖逆。</w:t>
      </w:r>
    </w:p>
    <w:p>
      <w:pPr/>
      <w:r>
        <w:rPr>
          <w:lang w:val="zh_TW" w:bidi="zh_TW"/>
        </w:rPr>
      </w:r>
      <w:r>
        <w:rPr>
          <w:lang w:val="zh_TW" w:bidi="zh_TW"/>
        </w:rPr>
        <w:t>民數記凸顯了以色列人與神的衝突。儘管神經常吩咐以色列人遵守律法，他們卻違背祂的命令。以色列人可以倚靠神來供應他們物質上的需求，並透過他們當中蒙揀選的領袖得到指引和教導。然而，以色列人對神恆久的供應往往顯得缺乏信心。民數記展現了聖潔的神迅速的審判，同時教導我們祂是信實而有耐心的神。</w:t>
      </w:r>
    </w:p>
    <w:p>
      <w:pPr/>
      <w:r>
        <w:rPr>
          <w:lang w:val="zh_TW" w:bidi="zh_TW"/>
        </w:rPr>
      </w:r>
      <w:r>
        <w:rPr>
          <w:lang w:val="zh_TW" w:bidi="zh_TW"/>
        </w:rPr>
        <w:t>正如古代以色列一樣，所有信仰群體都需要堅定的領導，而民數記也持續警戒那些太容易忘記神聖潔本性的信徒。新約多處引用民數記中的具體事件，作為有力的屬靈教訓：</w:t>
      </w:r>
    </w:p>
    <w:p>
      <w:pPr>
        <w:pStyle w:val="ListBullet"/>
        <w:spacing w:line="240" w:lineRule="auto"/>
        <w:ind w:left="720"/>
      </w:pPr>
      <w:r>
        <w:rPr>
          <w:lang w:val="zh_TW" w:bidi="zh_TW"/>
        </w:rPr>
      </w:r>
      <w:r>
        <w:rPr>
          <w:lang w:val="zh_TW" w:bidi="zh_TW"/>
        </w:rPr>
        <w:t>哥林多前書十章1至11節</w:t>
      </w:r>
      <w:r>
        <w:rPr>
          <w:lang w:val="zh_TW" w:bidi="zh_TW"/>
        </w:rPr>
        <w:t>中，使徒保羅警告讀者不要拜偶像、行姦淫和發怨言，免得像曠野中的以色列人那樣滅亡。神不喜悅這樣的行為，基督的跟隨者不可試探神（</w:t>
      </w:r>
      <w:r>
        <w:rPr>
          <w:lang w:val="zh_TW" w:bidi="zh_TW"/>
        </w:rPr>
        <w:t>林前10:9</w:t>
      </w:r>
      <w:r>
        <w:rPr>
          <w:lang w:val="zh_TW" w:bidi="zh_TW"/>
        </w:rPr>
        <w:t>）。</w:t>
      </w:r>
    </w:p>
    <w:p>
      <w:pPr>
        <w:pStyle w:val="ListBullet"/>
        <w:spacing w:line="240" w:lineRule="auto"/>
        <w:ind w:left="720"/>
      </w:pPr>
      <w:r>
        <w:rPr>
          <w:lang w:val="zh_TW" w:bidi="zh_TW"/>
        </w:rPr>
      </w:r>
      <w:r>
        <w:rPr>
          <w:lang w:val="zh_TW" w:bidi="zh_TW"/>
        </w:rPr>
        <w:t>希伯來書的作者指出，以色列人多次表現出心硬和悖逆的態度，而神對這種偏行己路的態度回以迅速且明確的忿怒（</w:t>
      </w:r>
      <w:r>
        <w:rPr>
          <w:lang w:val="zh_TW" w:bidi="zh_TW"/>
        </w:rPr>
        <w:t>來3:7–4:11</w:t>
      </w:r>
      <w:r>
        <w:rPr>
          <w:lang w:val="zh_TW" w:bidi="zh_TW"/>
        </w:rPr>
        <w:t>）。這些經文大量引用</w:t>
      </w:r>
      <w:r>
        <w:rPr>
          <w:lang w:val="zh_TW" w:bidi="zh_TW"/>
        </w:rPr>
        <w:t>詩篇九十五篇</w:t>
      </w:r>
      <w:r>
        <w:rPr>
          <w:lang w:val="zh_TW" w:bidi="zh_TW"/>
        </w:rPr>
        <w:t>的措辭，充斥了關於神審判以色列罪惡的表達方式。</w:t>
      </w:r>
    </w:p>
    <w:p>
      <w:pPr>
        <w:pStyle w:val="ListBullet"/>
        <w:spacing w:line="240" w:lineRule="auto"/>
        <w:ind w:left="720"/>
      </w:pPr>
      <w:r>
        <w:rPr>
          <w:lang w:val="zh_TW" w:bidi="zh_TW"/>
        </w:rPr>
      </w:r>
      <w:r>
        <w:rPr>
          <w:lang w:val="zh_TW" w:bidi="zh_TW"/>
        </w:rPr>
        <w:t>猶大書五節</w:t>
      </w:r>
      <w:r>
        <w:rPr>
          <w:lang w:val="zh_TW" w:bidi="zh_TW"/>
        </w:rPr>
        <w:t>概述民數記的內容，教導基督徒何為忠心。</w:t>
      </w:r>
    </w:p>
    <w:p>
      <w:pPr/>
      <w:r>
        <w:rPr>
          <w:lang w:val="zh_TW" w:bidi="zh_TW"/>
        </w:rPr>
      </w:r>
      <w:r>
        <w:rPr>
          <w:lang w:val="zh_TW" w:bidi="zh_TW"/>
        </w:rPr>
        <w:t>同一位神，曾將祂的百姓從埃及拯救出來，也因他們的不信與悖逆而毀滅了這一代人。如古代以色列一樣，基督徒必須從過去的錯誤中汲取教訓，以信心與順服主的態度來生活。</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