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HEB</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希伯來書</w:t>
      </w:r>
      <w:r>
        <w:rPr>
          <w:lang w:val="zh_TW" w:bidi="zh_TW"/>
        </w:rPr>
      </w:r>
    </w:p>
    <w:p>
      <w:pPr/>
      <w:r>
        <w:rPr>
          <w:lang w:val="zh_TW" w:bidi="zh_TW"/>
        </w:rPr>
      </w:r>
      <w:r>
        <w:rPr>
          <w:lang w:val="zh_TW" w:bidi="zh_TW"/>
        </w:rPr>
        <w:t>你是否認識這樣的人，他或她轉身放棄了基督和教會，並且就這樣離開了？也許你曾經在幻想破滅、靈性困惑、失去根基，或者在受到公然逼迫的情況下，努力堅持自己的基督徒委身（commitment）。希伯來書將我們指向基督。它提供了亮光，幫助掙扎中的基督徒清晰地看見耶穌，並且站立得穩。</w:t>
      </w:r>
    </w:p>
    <w:p>
      <w:pPr>
        <w:pStyle w:val="Heading2"/>
      </w:pPr>
      <w:r>
        <w:rPr>
          <w:lang w:val="zh_TW" w:bidi="zh_TW"/>
        </w:rPr>
        <w:t>背景</w:t>
      </w:r>
    </w:p>
    <w:p>
      <w:pPr/>
      <w:r>
        <w:rPr>
          <w:lang w:val="zh_TW" w:bidi="zh_TW"/>
        </w:rPr>
      </w:r>
      <w:r>
        <w:rPr>
          <w:lang w:val="zh_TW" w:bidi="zh_TW"/>
        </w:rPr>
        <w:t>隨著基督教在地中海世界的傳播，耶穌基督的第一批跟從者面臨著嚴峻的挑戰。希臘-羅馬社會誤解並且不信任猶太人和基督徒，認為他們是「無神論者」，因為他們不相信希臘或羅馬的神。來自傳統猶太教內部的反對聲浪也出現了。許多猶太人拒絕耶穌是彌賽亞。那些從猶太或外邦背景歸信基督的人，往往在工作、家庭關係、友情和其它社會聯繫方面付出高昂的代價。對基督徒的迫害是司空見慣的事。</w:t>
      </w:r>
    </w:p>
    <w:p>
      <w:pPr/>
      <w:r>
        <w:rPr>
          <w:lang w:val="zh_TW" w:bidi="zh_TW"/>
        </w:rPr>
      </w:r>
      <w:r>
        <w:rPr>
          <w:lang w:val="zh_TW" w:bidi="zh_TW"/>
        </w:rPr>
        <w:t>希伯來書所針對的信徒可能是公元六十年代早期在羅馬的一群家庭教會。那些經歷了公元三十年代的五旬節的人（</w:t>
      </w:r>
      <w:r>
        <w:rPr>
          <w:lang w:val="zh_TW" w:bidi="zh_TW"/>
        </w:rPr>
        <w:t>徒2:10</w:t>
      </w:r>
      <w:r>
        <w:rPr>
          <w:lang w:val="zh_TW" w:bidi="zh_TW"/>
        </w:rPr>
        <w:t>），可能在他們回家以後建立位於羅馬的基督徒群體。羅馬信徒曾表現出勇氣和忍耐（</w:t>
      </w:r>
      <w:r>
        <w:rPr>
          <w:lang w:val="zh_TW" w:bidi="zh_TW"/>
        </w:rPr>
        <w:t>來10:32–34</w:t>
      </w:r>
      <w:r>
        <w:rPr>
          <w:lang w:val="zh_TW" w:bidi="zh_TW"/>
        </w:rPr>
        <w:t>），但到希伯來書寫成的時候，一些人的屬靈熱情已經冷卻（</w:t>
      </w:r>
      <w:r>
        <w:rPr>
          <w:lang w:val="zh_TW" w:bidi="zh_TW"/>
        </w:rPr>
        <w:t>5:11–14</w:t>
      </w:r>
      <w:r>
        <w:rPr>
          <w:lang w:val="zh_TW" w:bidi="zh_TW"/>
        </w:rPr>
        <w:t>），他們的神學觀點也變得偏頗（</w:t>
      </w:r>
      <w:r>
        <w:rPr>
          <w:lang w:val="zh_TW" w:bidi="zh_TW"/>
        </w:rPr>
        <w:t>2:1</w:t>
      </w:r>
      <w:r>
        <w:rPr>
          <w:lang w:val="zh_TW" w:bidi="zh_TW"/>
        </w:rPr>
        <w:t>）。有些人甚至已經放棄了基督和教會（</w:t>
      </w:r>
      <w:r>
        <w:rPr>
          <w:lang w:val="zh_TW" w:bidi="zh_TW"/>
        </w:rPr>
        <w:t>6:4–8</w:t>
      </w:r>
      <w:r>
        <w:rPr>
          <w:lang w:val="zh_TW" w:bidi="zh_TW"/>
        </w:rPr>
        <w:t>）。</w:t>
      </w:r>
    </w:p>
    <w:p>
      <w:pPr>
        <w:pStyle w:val="Heading2"/>
      </w:pPr>
      <w:r>
        <w:rPr>
          <w:lang w:val="zh_TW" w:bidi="zh_TW"/>
        </w:rPr>
        <w:t>概要</w:t>
      </w:r>
    </w:p>
    <w:p>
      <w:pPr/>
      <w:r>
        <w:rPr>
          <w:lang w:val="zh_TW" w:bidi="zh_TW"/>
        </w:rPr>
      </w:r>
      <w:r>
        <w:rPr>
          <w:lang w:val="zh_TW" w:bidi="zh_TW"/>
        </w:rPr>
        <w:t>希伯來書是針對處於掙扎中人們的需要，所作出的充滿活力、精心斟酌的教牧回應。作者以第一世紀講道的風格，交替</w:t>
      </w:r>
      <w:r>
        <w:rPr>
          <w:i/>
          <w:lang w:val="zh_TW" w:bidi="zh_TW"/>
        </w:rPr>
        <w:t>闡述（exposition）</w:t>
      </w:r>
      <w:r>
        <w:rPr>
          <w:lang w:val="zh_TW" w:bidi="zh_TW"/>
        </w:rPr>
        <w:t>基督的位格和工作，並</w:t>
      </w:r>
      <w:r>
        <w:rPr>
          <w:i/>
          <w:lang w:val="zh_TW" w:bidi="zh_TW"/>
        </w:rPr>
        <w:t>勸勉（exhortation）</w:t>
      </w:r>
      <w:r>
        <w:rPr>
          <w:lang w:val="zh_TW" w:bidi="zh_TW"/>
        </w:rPr>
        <w:t>聽眾順服和忍耐。作者透過對神子的詳細討論，再加上警告、挑戰、例證、和提醒神的信實，呼籲讀者堅持跟隨基督。</w:t>
      </w:r>
    </w:p>
    <w:p>
      <w:pPr/>
      <w:r>
        <w:rPr>
          <w:lang w:val="zh_TW" w:bidi="zh_TW"/>
        </w:rPr>
      </w:r>
      <w:r>
        <w:rPr>
          <w:lang w:val="zh_TW" w:bidi="zh_TW"/>
        </w:rPr>
        <w:t>在整篇講道的引言（</w:t>
      </w:r>
      <w:r>
        <w:rPr>
          <w:lang w:val="zh_TW" w:bidi="zh_TW"/>
        </w:rPr>
        <w:t>1:1–4</w:t>
      </w:r>
      <w:r>
        <w:rPr>
          <w:lang w:val="zh_TW" w:bidi="zh_TW"/>
        </w:rPr>
        <w:t>）之後，作者對基督超越性的闡述分為兩個主要部分。第一部分（</w:t>
      </w:r>
      <w:r>
        <w:rPr>
          <w:lang w:val="zh_TW" w:bidi="zh_TW"/>
        </w:rPr>
        <w:t>1:5–2:18</w:t>
      </w:r>
      <w:r>
        <w:rPr>
          <w:lang w:val="zh_TW" w:bidi="zh_TW"/>
        </w:rPr>
        <w:t>）解釋了聖子與天使的關係。天使是僕人（</w:t>
      </w:r>
      <w:r>
        <w:rPr>
          <w:lang w:val="zh_TW" w:bidi="zh_TW"/>
        </w:rPr>
        <w:t>1:6–7</w:t>
      </w:r>
      <w:r>
        <w:rPr>
          <w:lang w:val="zh_TW" w:bidi="zh_TW"/>
        </w:rPr>
        <w:t>、</w:t>
      </w:r>
      <w:r>
        <w:rPr>
          <w:lang w:val="zh_TW" w:bidi="zh_TW"/>
        </w:rPr>
        <w:t>14</w:t>
      </w:r>
      <w:r>
        <w:rPr>
          <w:lang w:val="zh_TW" w:bidi="zh_TW"/>
        </w:rPr>
        <w:t>），而被高舉的聖子（</w:t>
      </w:r>
      <w:r>
        <w:rPr>
          <w:lang w:val="zh_TW" w:bidi="zh_TW"/>
        </w:rPr>
        <w:t>1:13</w:t>
      </w:r>
      <w:r>
        <w:rPr>
          <w:lang w:val="zh_TW" w:bidi="zh_TW"/>
        </w:rPr>
        <w:t>），則擁有與父獨特的關係（</w:t>
      </w:r>
      <w:r>
        <w:rPr>
          <w:lang w:val="zh_TW" w:bidi="zh_TW"/>
        </w:rPr>
        <w:t>1:5</w:t>
      </w:r>
      <w:r>
        <w:rPr>
          <w:lang w:val="zh_TW" w:bidi="zh_TW"/>
        </w:rPr>
        <w:t>），祂是主、是創造者，也是護理宇宙的那一位——事實上，祂是神（</w:t>
      </w:r>
      <w:r>
        <w:rPr>
          <w:lang w:val="zh_TW" w:bidi="zh_TW"/>
        </w:rPr>
        <w:t>1:8–12</w:t>
      </w:r>
      <w:r>
        <w:rPr>
          <w:lang w:val="zh_TW" w:bidi="zh_TW"/>
        </w:rPr>
        <w:t>）。作者勸告聽眾要仔細聽他們所學到的救恩信息（</w:t>
      </w:r>
      <w:r>
        <w:rPr>
          <w:lang w:val="zh_TW" w:bidi="zh_TW"/>
        </w:rPr>
        <w:t>2:1–4</w:t>
      </w:r>
      <w:r>
        <w:rPr>
          <w:lang w:val="zh_TW" w:bidi="zh_TW"/>
        </w:rPr>
        <w:t>），然後繼續回到闡述。被高舉的基督在成為人時，地位暫時低於天使（</w:t>
      </w:r>
      <w:r>
        <w:rPr>
          <w:lang w:val="zh_TW" w:bidi="zh_TW"/>
        </w:rPr>
        <w:t>2:5–9</w:t>
      </w:r>
      <w:r>
        <w:rPr>
          <w:lang w:val="zh_TW" w:bidi="zh_TW"/>
        </w:rPr>
        <w:t>）；耶穌取了血肉之軀，為要受死而使我們得自由（</w:t>
      </w:r>
      <w:r>
        <w:rPr>
          <w:lang w:val="zh_TW" w:bidi="zh_TW"/>
        </w:rPr>
        <w:t>2:10–18</w:t>
      </w:r>
      <w:r>
        <w:rPr>
          <w:lang w:val="zh_TW" w:bidi="zh_TW"/>
        </w:rPr>
        <w:t>）。第一次闡述之後是勸告（</w:t>
      </w:r>
      <w:r>
        <w:rPr>
          <w:lang w:val="zh_TW" w:bidi="zh_TW"/>
        </w:rPr>
        <w:t>3:1–4:13</w:t>
      </w:r>
      <w:r>
        <w:rPr>
          <w:lang w:val="zh_TW" w:bidi="zh_TW"/>
        </w:rPr>
        <w:t>），其重點在於需要忠心的順服，以及賜給神子民安息的應許仍在持續。</w:t>
      </w:r>
    </w:p>
    <w:p>
      <w:pPr/>
      <w:r>
        <w:rPr>
          <w:lang w:val="zh_TW" w:bidi="zh_TW"/>
        </w:rPr>
      </w:r>
      <w:r>
        <w:rPr>
          <w:lang w:val="zh_TW" w:bidi="zh_TW"/>
        </w:rPr>
        <w:t>第二部分的闡述（</w:t>
      </w:r>
      <w:r>
        <w:rPr>
          <w:lang w:val="zh_TW" w:bidi="zh_TW"/>
        </w:rPr>
        <w:t>4:14–10:18</w:t>
      </w:r>
      <w:r>
        <w:rPr>
          <w:lang w:val="zh_TW" w:bidi="zh_TW"/>
        </w:rPr>
        <w:t>）是關於聖子——也就是我們的大祭司——與舊約獻祭制度的關係。在這個主題的引言（</w:t>
      </w:r>
      <w:r>
        <w:rPr>
          <w:lang w:val="zh_TW" w:bidi="zh_TW"/>
        </w:rPr>
        <w:t>4:14–16</w:t>
      </w:r>
      <w:r>
        <w:rPr>
          <w:lang w:val="zh_TW" w:bidi="zh_TW"/>
        </w:rPr>
        <w:t>）之後，作者談到聖子被立為最高等次（superior）的大祭司（</w:t>
      </w:r>
      <w:r>
        <w:rPr>
          <w:lang w:val="zh_TW" w:bidi="zh_TW"/>
        </w:rPr>
        <w:t>5:1–10</w:t>
      </w:r>
      <w:r>
        <w:rPr>
          <w:lang w:val="zh_TW" w:bidi="zh_TW"/>
        </w:rPr>
        <w:t>），並且直接挑戰這個受眾群體在靈性上的不成熟（</w:t>
      </w:r>
      <w:r>
        <w:rPr>
          <w:lang w:val="zh_TW" w:bidi="zh_TW"/>
        </w:rPr>
        <w:t>5:11–6:20</w:t>
      </w:r>
      <w:r>
        <w:rPr>
          <w:lang w:val="zh_TW" w:bidi="zh_TW"/>
        </w:rPr>
        <w:t>）。麥基洗德超越了利未人的祭司（</w:t>
      </w:r>
      <w:r>
        <w:rPr>
          <w:lang w:val="zh_TW" w:bidi="zh_TW"/>
        </w:rPr>
        <w:t>7:1–10</w:t>
      </w:r>
      <w:r>
        <w:rPr>
          <w:lang w:val="zh_TW" w:bidi="zh_TW"/>
        </w:rPr>
        <w:t>），此討論奠定了一個基礎，呈現出耶穌是更超越的、是按照麥基洗德的等次所立（</w:t>
      </w:r>
      <w:r>
        <w:rPr>
          <w:lang w:val="zh_TW" w:bidi="zh_TW"/>
        </w:rPr>
        <w:t>7:11–28</w:t>
      </w:r>
      <w:r>
        <w:rPr>
          <w:lang w:val="zh_TW" w:bidi="zh_TW"/>
        </w:rPr>
        <w:t>）最高等次的大祭司。簡而言之，耶穌不是按照舊約律法條例而立定的——舊約律法規定祭司應該來自利未支派。反之，祂是由神憑著起誓而立的，以祂不會朽壞的生命為基礎。接著，這篇闡述考量的是這位被立的大祭司所獻上的更美的祭物（</w:t>
      </w:r>
      <w:r>
        <w:rPr>
          <w:lang w:val="zh_TW" w:bidi="zh_TW"/>
        </w:rPr>
        <w:t>8:3–10:18</w:t>
      </w:r>
      <w:r>
        <w:rPr>
          <w:lang w:val="zh_TW" w:bidi="zh_TW"/>
        </w:rPr>
        <w:t>）。與地上的祭司一樣，這位大祭司也要為罪獻祭，但祂所獻的祭是新約的祭（</w:t>
      </w:r>
      <w:r>
        <w:rPr>
          <w:lang w:val="zh_TW" w:bidi="zh_TW"/>
        </w:rPr>
        <w:t>8:7–13</w:t>
      </w:r>
      <w:r>
        <w:rPr>
          <w:lang w:val="zh_TW" w:bidi="zh_TW"/>
        </w:rPr>
        <w:t>），是超越舊約的祭（</w:t>
      </w:r>
      <w:r>
        <w:rPr>
          <w:lang w:val="zh_TW" w:bidi="zh_TW"/>
        </w:rPr>
        <w:t>9:1–10:18</w:t>
      </w:r>
      <w:r>
        <w:rPr>
          <w:lang w:val="zh_TW" w:bidi="zh_TW"/>
        </w:rPr>
        <w:t>）。</w:t>
      </w:r>
    </w:p>
    <w:p>
      <w:pPr/>
      <w:r>
        <w:rPr>
          <w:lang w:val="zh_TW" w:bidi="zh_TW"/>
        </w:rPr>
      </w:r>
      <w:r>
        <w:rPr>
          <w:lang w:val="zh_TW" w:bidi="zh_TW"/>
        </w:rPr>
        <w:t>最後主要的部分（</w:t>
      </w:r>
      <w:r>
        <w:rPr>
          <w:lang w:val="zh_TW" w:bidi="zh_TW"/>
        </w:rPr>
        <w:t>10:19–13:25</w:t>
      </w:r>
      <w:r>
        <w:rPr>
          <w:lang w:val="zh_TW" w:bidi="zh_TW"/>
        </w:rPr>
        <w:t>）是勸勉，挑戰聽眾以忠心回應關於基督的信息。這卷書以祝禱和正式結語作為結束（</w:t>
      </w:r>
      <w:r>
        <w:rPr>
          <w:lang w:val="zh_TW" w:bidi="zh_TW"/>
        </w:rPr>
        <w:t>13:20–25</w:t>
      </w:r>
      <w:r>
        <w:rPr>
          <w:lang w:val="zh_TW" w:bidi="zh_TW"/>
        </w:rPr>
        <w:t>）。</w:t>
      </w:r>
    </w:p>
    <w:p>
      <w:pPr>
        <w:pStyle w:val="Heading2"/>
      </w:pPr>
      <w:r>
        <w:rPr>
          <w:lang w:val="zh_TW" w:bidi="zh_TW"/>
        </w:rPr>
        <w:t>作者</w:t>
      </w:r>
    </w:p>
    <w:p>
      <w:pPr/>
      <w:r>
        <w:rPr>
          <w:lang w:val="zh_TW" w:bidi="zh_TW"/>
        </w:rPr>
      </w:r>
      <w:r>
        <w:rPr>
          <w:lang w:val="zh_TW" w:bidi="zh_TW"/>
        </w:rPr>
        <w:t>與新約的許多其它書信不同，希伯來書並未以作者和收信人的身份開始；今日許多學者認為這是因為該書最初是作為講章寫成的。自教會的最初幾個世紀以來，希伯來書作者的身份一直遭遇到很多討論。該書與保羅的書信一起流傳，地中海東半部的一些教父（如俄利根和亞歷山大的革利免）認為作者是保羅。其他人，尤其是在羅馬周圍的，則不認為是保羅寫了這卷書。</w:t>
      </w:r>
    </w:p>
    <w:p>
      <w:pPr/>
      <w:r>
        <w:rPr>
          <w:lang w:val="zh_TW" w:bidi="zh_TW"/>
        </w:rPr>
      </w:r>
      <w:r>
        <w:rPr>
          <w:lang w:val="zh_TW" w:bidi="zh_TW"/>
        </w:rPr>
        <w:t>今日幾乎所有學者都同意希伯來書的作者不是保羅。首先，在</w:t>
      </w:r>
      <w:r>
        <w:rPr>
          <w:lang w:val="zh_TW" w:bidi="zh_TW"/>
        </w:rPr>
        <w:t>二章3節</w:t>
      </w:r>
      <w:r>
        <w:rPr>
          <w:lang w:val="zh_TW" w:bidi="zh_TW"/>
        </w:rPr>
        <w:t>，對於作者的描述是他是從跟隨基督的最初見證人那裡接受了福音，這聽起來完全不像是保羅（見</w:t>
      </w:r>
      <w:r>
        <w:rPr>
          <w:lang w:val="zh_TW" w:bidi="zh_TW"/>
        </w:rPr>
        <w:t>羅1:1</w:t>
      </w:r>
      <w:r>
        <w:rPr>
          <w:lang w:val="zh_TW" w:bidi="zh_TW"/>
        </w:rPr>
        <w:t>；</w:t>
      </w:r>
      <w:r>
        <w:rPr>
          <w:lang w:val="zh_TW" w:bidi="zh_TW"/>
        </w:rPr>
        <w:t>林前15:8</w:t>
      </w:r>
      <w:r>
        <w:rPr>
          <w:lang w:val="zh_TW" w:bidi="zh_TW"/>
        </w:rPr>
        <w:t>；</w:t>
      </w:r>
      <w:r>
        <w:rPr>
          <w:lang w:val="zh_TW" w:bidi="zh_TW"/>
        </w:rPr>
        <w:t>加1:11–16</w:t>
      </w:r>
      <w:r>
        <w:rPr>
          <w:lang w:val="zh_TW" w:bidi="zh_TW"/>
        </w:rPr>
        <w:t>）。其次，在風格、神學形象和詞彙使用上，也與保羅相當地不同；例如，希伯來書使用了一百六十九個在新約其它地方從未出現的詞彙。</w:t>
      </w:r>
    </w:p>
    <w:p>
      <w:pPr/>
      <w:r>
        <w:rPr>
          <w:lang w:val="zh_TW" w:bidi="zh_TW"/>
        </w:rPr>
      </w:r>
      <w:r>
        <w:rPr>
          <w:lang w:val="zh_TW" w:bidi="zh_TW"/>
        </w:rPr>
        <w:t>數個世紀以來，有許多其他可能的作者被提出，如腓力、百基拉、路加、巴拿巴、猶大和羅馬的革利免（Clement of Rome）。自從馬丁·路德（Martin Luther）最早提出作者是亞波羅後，這一建議成為現在最受歡迎的想法之一。路加在</w:t>
      </w:r>
      <w:r>
        <w:rPr>
          <w:lang w:val="zh_TW" w:bidi="zh_TW"/>
        </w:rPr>
        <w:t>使徒行傳十八章24–26節</w:t>
      </w:r>
      <w:r>
        <w:rPr>
          <w:lang w:val="zh_TW" w:bidi="zh_TW"/>
        </w:rPr>
        <w:t>中描述亞波羅是一位來自亞歷山大的雄辯家和有力的演說家，也是一個傳道人。</w:t>
      </w:r>
    </w:p>
    <w:p>
      <w:pPr/>
      <w:r>
        <w:rPr>
          <w:lang w:val="zh_TW" w:bidi="zh_TW"/>
        </w:rPr>
      </w:r>
      <w:r>
        <w:rPr>
          <w:lang w:val="zh_TW" w:bidi="zh_TW"/>
        </w:rPr>
        <w:t>雖然我們無法確定希伯來書的作者是誰，但仔細研究這本書可以揭示很多與其相關的信息。首先，這本書以出色的希臘文撰寫，其精心設計的表達方式顯示出作者是一位受過高等教育的人。其次，希伯來書的作者必定是一位充滿活力的傳道人，受過釋經和講解的訓練，並且牢記舊約大部分的內容。第三，也是最重要的一點，這位作者是一位深深關心聽眾的基督徒領袖，他急切且充滿激情地向讀者發出呼籲。希伯來書不僅是一篇神學論文，更是一份牧養的呼籲，為要爭取那些在基督徒委身中掙扎之人的心靈與思想。</w:t>
      </w:r>
    </w:p>
    <w:p>
      <w:pPr>
        <w:pStyle w:val="Heading2"/>
      </w:pPr>
      <w:r>
        <w:rPr>
          <w:lang w:val="zh_TW" w:bidi="zh_TW"/>
        </w:rPr>
        <w:t>收件人</w:t>
      </w:r>
    </w:p>
    <w:p>
      <w:pPr/>
      <w:r>
        <w:rPr>
          <w:lang w:val="zh_TW" w:bidi="zh_TW"/>
        </w:rPr>
      </w:r>
      <w:r>
        <w:rPr>
          <w:lang w:val="zh_TW" w:bidi="zh_TW"/>
        </w:rPr>
        <w:t>作者寫道：「</w:t>
      </w:r>
      <w:r>
        <w:rPr>
          <w:lang w:val="zh_TW" w:bidi="zh_TW"/>
        </w:rPr>
        <w:t>請你們問引導你們的諸位和眾聖徒安。從意大利來的人也問你們安</w:t>
      </w:r>
      <w:r>
        <w:rPr>
          <w:lang w:val="zh_TW" w:bidi="zh_TW"/>
        </w:rPr>
        <w:t>」(</w:t>
      </w:r>
      <w:r>
        <w:rPr>
          <w:lang w:val="zh_TW" w:bidi="zh_TW"/>
        </w:rPr>
        <w:t>來13:24</w:t>
      </w:r>
      <w:r>
        <w:rPr>
          <w:lang w:val="zh_TW" w:bidi="zh_TW"/>
        </w:rPr>
        <w:t>)。作者似乎是寫信回意大利，也可能是羅馬，送上旅行海外的意大利基督徒的問候。</w:t>
      </w:r>
    </w:p>
    <w:p>
      <w:pPr/>
      <w:r>
        <w:rPr>
          <w:lang w:val="zh_TW" w:bidi="zh_TW"/>
        </w:rPr>
      </w:r>
      <w:r>
        <w:rPr>
          <w:lang w:val="zh_TW" w:bidi="zh_TW"/>
        </w:rPr>
        <w:t>這封信的收信人似乎有一些猶太敬拜的背景。作者對舊約的運用以及所提出的神學概念，對地中海世界猶太會堂的人來說，應該是耳熟能詳的。這並不一定意味著所有的收信人都是猶太人，因為許多外邦人作為「敬畏神的人」加入了猶太會堂，他們也敬拜以色列的神。</w:t>
      </w:r>
    </w:p>
    <w:p>
      <w:pPr>
        <w:pStyle w:val="Heading2"/>
      </w:pPr>
      <w:r>
        <w:rPr>
          <w:lang w:val="zh_TW" w:bidi="zh_TW"/>
        </w:rPr>
        <w:t>寫作場合</w:t>
      </w:r>
    </w:p>
    <w:p>
      <w:pPr/>
      <w:r>
        <w:rPr>
          <w:lang w:val="zh_TW" w:bidi="zh_TW"/>
        </w:rPr>
      </w:r>
      <w:r>
        <w:rPr>
          <w:lang w:val="zh_TW" w:bidi="zh_TW"/>
        </w:rPr>
        <w:t>基督徒群體中有些人因為受到逼迫，顯然在維持他們的委身這事上掙扎。像</w:t>
      </w:r>
      <w:r>
        <w:rPr>
          <w:lang w:val="zh_TW" w:bidi="zh_TW"/>
        </w:rPr>
        <w:t>希伯來書十章32–39節</w:t>
      </w:r>
      <w:r>
        <w:rPr>
          <w:lang w:val="zh_TW" w:bidi="zh_TW"/>
        </w:rPr>
        <w:t>這樣的經文表明，這群曾經面對過逼迫的信徒，現在再次面臨逼迫。在面對公眾反對而不得不為基督和教會堅持的考驗中，有些人在靈性上動搖了，另一些人顯然已經完全背棄了信仰。因此，作者挑戰這群自稱為跟從基督的人，在公開認信基督方面要堅忍。</w:t>
      </w:r>
    </w:p>
    <w:p>
      <w:pPr/>
      <w:r>
        <w:rPr>
          <w:lang w:val="zh_TW" w:bidi="zh_TW"/>
        </w:rPr>
      </w:r>
      <w:r>
        <w:rPr>
          <w:lang w:val="zh_TW" w:bidi="zh_TW"/>
        </w:rPr>
        <w:t>如果我們正確地認為羅馬是這卷書信的目的地，這個勸勉的話語可能是因尼祿（Nero）皇帝統治時的迫害所催生的，因為公元六十年代中期，尼祿對基督徒的強烈迫害和基督徒殉道是眾所周知的。希伯來書也有可能是在公元七十年之後寫的。然而，這種可能性似乎不大，因為在希伯來書寫成的時候，基督徒群體中顯然還沒有人殉道（見</w:t>
      </w:r>
      <w:r>
        <w:rPr>
          <w:lang w:val="zh_TW" w:bidi="zh_TW"/>
        </w:rPr>
        <w:t>12:4</w:t>
      </w:r>
      <w:r>
        <w:rPr>
          <w:lang w:val="zh_TW" w:bidi="zh_TW"/>
        </w:rPr>
        <w:t>），但是逼迫的壓力正在上升。</w:t>
      </w:r>
    </w:p>
    <w:p>
      <w:pPr>
        <w:pStyle w:val="Heading2"/>
      </w:pPr>
      <w:r>
        <w:rPr>
          <w:lang w:val="zh_TW" w:bidi="zh_TW"/>
        </w:rPr>
        <w:t>意義與信息</w:t>
      </w:r>
    </w:p>
    <w:p>
      <w:pPr/>
      <w:r>
        <w:rPr>
          <w:lang w:val="zh_TW" w:bidi="zh_TW"/>
        </w:rPr>
      </w:r>
      <w:r>
        <w:rPr>
          <w:lang w:val="zh_TW" w:bidi="zh_TW"/>
        </w:rPr>
        <w:t>神已經論到了祂的兒子，也是藉著祂的兒子說話（</w:t>
      </w:r>
      <w:r>
        <w:rPr>
          <w:lang w:val="zh_TW" w:bidi="zh_TW"/>
        </w:rPr>
        <w:t>1:1–3</w:t>
      </w:r>
      <w:r>
        <w:rPr>
          <w:lang w:val="zh_TW" w:bidi="zh_TW"/>
        </w:rPr>
        <w:t>），那些不聽從這話並不以順服回應的人將面臨嚴重的後果（</w:t>
      </w:r>
      <w:r>
        <w:rPr>
          <w:lang w:val="zh_TW" w:bidi="zh_TW"/>
        </w:rPr>
        <w:t>2:1–3</w:t>
      </w:r>
      <w:r>
        <w:rPr>
          <w:lang w:val="zh_TW" w:bidi="zh_TW"/>
        </w:rPr>
        <w:t>）。最終，耶穌，這位宇宙的創造者和護理者（</w:t>
      </w:r>
      <w:r>
        <w:rPr>
          <w:lang w:val="zh_TW" w:bidi="zh_TW"/>
        </w:rPr>
        <w:t>1:2–3</w:t>
      </w:r>
      <w:r>
        <w:rPr>
          <w:lang w:val="zh_TW" w:bidi="zh_TW"/>
        </w:rPr>
        <w:t>），將像人捲起一件舊衣服一樣改變這受造的秩序（</w:t>
      </w:r>
      <w:r>
        <w:rPr>
          <w:lang w:val="zh_TW" w:bidi="zh_TW"/>
        </w:rPr>
        <w:t>1:10–12</w:t>
      </w:r>
      <w:r>
        <w:rPr>
          <w:lang w:val="zh_TW" w:bidi="zh_TW"/>
        </w:rPr>
        <w:t>）。</w:t>
      </w:r>
    </w:p>
    <w:p>
      <w:pPr/>
      <w:r>
        <w:rPr>
          <w:lang w:val="zh_TW" w:bidi="zh_TW"/>
        </w:rPr>
      </w:r>
      <w:r>
        <w:rPr>
          <w:lang w:val="zh_TW" w:bidi="zh_TW"/>
        </w:rPr>
        <w:t>耶穌配得我們的委身、敬拜、和在信心中的堅忍。祂超越天使（</w:t>
      </w:r>
      <w:r>
        <w:rPr>
          <w:lang w:val="zh_TW" w:bidi="zh_TW"/>
        </w:rPr>
        <w:t>1:5–14</w:t>
      </w:r>
      <w:r>
        <w:rPr>
          <w:lang w:val="zh_TW" w:bidi="zh_TW"/>
        </w:rPr>
        <w:t>）、摩西（</w:t>
      </w:r>
      <w:r>
        <w:rPr>
          <w:lang w:val="zh_TW" w:bidi="zh_TW"/>
        </w:rPr>
        <w:t>3:1–6</w:t>
      </w:r>
      <w:r>
        <w:rPr>
          <w:lang w:val="zh_TW" w:bidi="zh_TW"/>
        </w:rPr>
        <w:t>），和舊約的利未人祭司職分（</w:t>
      </w:r>
      <w:r>
        <w:rPr>
          <w:lang w:val="zh_TW" w:bidi="zh_TW"/>
        </w:rPr>
        <w:t>5:1–10</w:t>
      </w:r>
      <w:r>
        <w:rPr>
          <w:lang w:val="zh_TW" w:bidi="zh_TW"/>
        </w:rPr>
        <w:t>，</w:t>
      </w:r>
      <w:r>
        <w:rPr>
          <w:lang w:val="zh_TW" w:bidi="zh_TW"/>
        </w:rPr>
        <w:t>7:1–28</w:t>
      </w:r>
      <w:r>
        <w:rPr>
          <w:lang w:val="zh_TW" w:bidi="zh_TW"/>
        </w:rPr>
        <w:t>）。</w:t>
      </w:r>
    </w:p>
    <w:p>
      <w:pPr/>
      <w:r>
        <w:rPr>
          <w:lang w:val="zh_TW" w:bidi="zh_TW"/>
        </w:rPr>
      </w:r>
      <w:r>
        <w:rPr>
          <w:lang w:val="zh_TW" w:bidi="zh_TW"/>
        </w:rPr>
        <w:t>耶穌已經立了一個新的、屬天的約，藉著自己的死一次獻上自己（</w:t>
      </w:r>
      <w:r>
        <w:rPr>
          <w:lang w:val="zh_TW" w:bidi="zh_TW"/>
        </w:rPr>
        <w:t>8:3–10:18</w:t>
      </w:r>
      <w:r>
        <w:rPr>
          <w:lang w:val="zh_TW" w:bidi="zh_TW"/>
        </w:rPr>
        <w:t>）。祂道成肉身，作為信實的子忍受苦難（</w:t>
      </w:r>
      <w:r>
        <w:rPr>
          <w:lang w:val="zh_TW" w:bidi="zh_TW"/>
        </w:rPr>
        <w:t>3:1–6</w:t>
      </w:r>
      <w:r>
        <w:rPr>
          <w:lang w:val="zh_TW" w:bidi="zh_TW"/>
        </w:rPr>
        <w:t>，</w:t>
      </w:r>
      <w:r>
        <w:rPr>
          <w:lang w:val="zh_TW" w:bidi="zh_TW"/>
        </w:rPr>
        <w:t>5:7–8</w:t>
      </w:r>
      <w:r>
        <w:rPr>
          <w:lang w:val="zh_TW" w:bidi="zh_TW"/>
        </w:rPr>
        <w:t>，</w:t>
      </w:r>
      <w:r>
        <w:rPr>
          <w:lang w:val="zh_TW" w:bidi="zh_TW"/>
        </w:rPr>
        <w:t>12:1–2</w:t>
      </w:r>
      <w:r>
        <w:rPr>
          <w:lang w:val="zh_TW" w:bidi="zh_TW"/>
        </w:rPr>
        <w:t>）；祂升到高天，作為宇宙的至高主宰而掌權（</w:t>
      </w:r>
      <w:r>
        <w:rPr>
          <w:lang w:val="zh_TW" w:bidi="zh_TW"/>
        </w:rPr>
        <w:t>1:2–4</w:t>
      </w:r>
      <w:r>
        <w:rPr>
          <w:lang w:val="zh_TW" w:bidi="zh_TW"/>
        </w:rPr>
        <w:t>，</w:t>
      </w:r>
      <w:r>
        <w:rPr>
          <w:lang w:val="zh_TW" w:bidi="zh_TW"/>
        </w:rPr>
        <w:t>8–13</w:t>
      </w:r>
      <w:r>
        <w:rPr>
          <w:lang w:val="zh_TW" w:bidi="zh_TW"/>
        </w:rPr>
        <w:t>）。因此，耶穌為我們提供了堅持基督徒生命和對未來有盼望的更超越的基礎。</w:t>
      </w:r>
    </w:p>
    <w:p>
      <w:pPr/>
      <w:r>
        <w:rPr>
          <w:lang w:val="zh_TW" w:bidi="zh_TW"/>
        </w:rPr>
      </w:r>
      <w:r>
        <w:rPr>
          <w:lang w:val="zh_TW" w:bidi="zh_TW"/>
        </w:rPr>
        <w:t>我們可以參考一些人的正面例子，在前往神的永恆之城的旅程中，這些人是忠心的（見</w:t>
      </w:r>
      <w:r>
        <w:rPr>
          <w:lang w:val="zh_TW" w:bidi="zh_TW"/>
        </w:rPr>
        <w:t>6:13–15</w:t>
      </w:r>
      <w:r>
        <w:rPr>
          <w:lang w:val="zh_TW" w:bidi="zh_TW"/>
        </w:rPr>
        <w:t>，</w:t>
      </w:r>
      <w:r>
        <w:rPr>
          <w:lang w:val="zh_TW" w:bidi="zh_TW"/>
        </w:rPr>
        <w:t>10:32–39</w:t>
      </w:r>
      <w:r>
        <w:rPr>
          <w:lang w:val="zh_TW" w:bidi="zh_TW"/>
        </w:rPr>
        <w:t>，</w:t>
      </w:r>
      <w:r>
        <w:rPr>
          <w:lang w:val="zh_TW" w:bidi="zh_TW"/>
        </w:rPr>
        <w:t>11:1–40</w:t>
      </w:r>
      <w:r>
        <w:rPr>
          <w:lang w:val="zh_TW" w:bidi="zh_TW"/>
        </w:rPr>
        <w:t>）；我們也可以參考一些人的負面例子，這些人因不順服而失敗（見</w:t>
      </w:r>
      <w:r>
        <w:rPr>
          <w:lang w:val="zh_TW" w:bidi="zh_TW"/>
        </w:rPr>
        <w:t>3:7–19</w:t>
      </w:r>
      <w:r>
        <w:rPr>
          <w:lang w:val="zh_TW" w:bidi="zh_TW"/>
        </w:rPr>
        <w:t>，</w:t>
      </w:r>
      <w:r>
        <w:rPr>
          <w:lang w:val="zh_TW" w:bidi="zh_TW"/>
        </w:rPr>
        <w:t>6:4–8</w:t>
      </w:r>
      <w:r>
        <w:rPr>
          <w:lang w:val="zh_TW" w:bidi="zh_TW"/>
        </w:rPr>
        <w:t>）。我們可以擁抱神給我們的應許，我們是祂的孩子，這是我們所得的產業（</w:t>
      </w:r>
      <w:r>
        <w:rPr>
          <w:lang w:val="zh_TW" w:bidi="zh_TW"/>
        </w:rPr>
        <w:t>4:3–11</w:t>
      </w:r>
      <w:r>
        <w:rPr>
          <w:lang w:val="zh_TW" w:bidi="zh_TW"/>
        </w:rPr>
        <w:t>，</w:t>
      </w:r>
      <w:r>
        <w:rPr>
          <w:lang w:val="zh_TW" w:bidi="zh_TW"/>
        </w:rPr>
        <w:t>6:13–20</w:t>
      </w:r>
      <w:r>
        <w:rPr>
          <w:lang w:val="zh_TW" w:bidi="zh_TW"/>
        </w:rPr>
        <w:t>，</w:t>
      </w:r>
      <w:r>
        <w:rPr>
          <w:lang w:val="zh_TW" w:bidi="zh_TW"/>
        </w:rPr>
        <w:t>12:22–24</w:t>
      </w:r>
      <w:r>
        <w:rPr>
          <w:lang w:val="zh_TW" w:bidi="zh_TW"/>
        </w:rPr>
        <w:t>）。</w:t>
      </w:r>
    </w:p>
    <w:p>
      <w:pPr/>
      <w:r>
        <w:rPr>
          <w:lang w:val="zh_TW" w:bidi="zh_TW"/>
        </w:rPr>
      </w:r>
      <w:r>
        <w:rPr>
          <w:lang w:val="zh_TW" w:bidi="zh_TW"/>
        </w:rPr>
        <w:t>因為耶穌，我們可以在人際關係和敬拜中，作為基督徒群體忠心成員而活（</w:t>
      </w:r>
      <w:r>
        <w:rPr>
          <w:lang w:val="zh_TW" w:bidi="zh_TW"/>
        </w:rPr>
        <w:t>13:1–17</w:t>
      </w:r>
      <w:r>
        <w:rPr>
          <w:lang w:val="zh_TW" w:bidi="zh_TW"/>
        </w:rPr>
        <w:t>）。我們在基督徒信仰中的堅忍，將與我們對耶穌是誰以及祂為我們所成就之事的了解清晰程度成為正比。</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