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r>
        <w:rPr>
          <w:lang w:val="fr_FR" w:bidi="fr_FR"/>
        </w:rPr>
        <w:t>Gn 25.30</w:t>
      </w:r>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r>
        <w:rPr>
          <w:lang w:val="fr_FR" w:bidi="fr_FR"/>
        </w:rPr>
        <w:t xml:space="preserve">2S 8.14 </w:t>
      </w:r>
      <w:r>
        <w:rPr>
          <w:lang w:val="fr_FR" w:bidi="fr_FR"/>
        </w:rPr>
        <w:t xml:space="preserve">; </w:t>
      </w:r>
      <w:r>
        <w:rPr>
          <w:lang w:val="fr_FR" w:bidi="fr_FR"/>
        </w:rPr>
        <w:t xml:space="preserve">1R 11.14–16 </w:t>
      </w:r>
      <w:r>
        <w:rPr>
          <w:lang w:val="fr_FR" w:bidi="fr_FR"/>
        </w:rPr>
        <w:t xml:space="preserve">; </w:t>
      </w:r>
      <w:r>
        <w:rPr>
          <w:lang w:val="fr_FR" w:bidi="fr_FR"/>
        </w:rPr>
        <w:t xml:space="preserve">2R 8.20–22 </w:t>
      </w:r>
      <w:r>
        <w:rPr>
          <w:lang w:val="fr_FR" w:bidi="fr_FR"/>
        </w:rPr>
        <w:t xml:space="preserve">; cf. </w:t>
      </w:r>
      <w:r>
        <w:rPr>
          <w:lang w:val="fr_FR" w:bidi="fr_FR"/>
        </w:rPr>
        <w:t>2R 3.9–14</w:t>
      </w:r>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r>
        <w:rPr>
          <w:lang w:val="fr_FR" w:bidi="fr_FR"/>
        </w:rPr>
        <w:t>Nb 20.14–21</w:t>
      </w:r>
      <w:r>
        <w:rPr>
          <w:lang w:val="fr_FR" w:bidi="fr_FR"/>
        </w:rPr>
        <w:t xml:space="preserve"> ; </w:t>
      </w:r>
      <w:r>
        <w:rPr>
          <w:lang w:val="fr_FR" w:bidi="fr_FR"/>
        </w:rPr>
        <w:t>21.4</w:t>
      </w:r>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r>
        <w:rPr>
          <w:lang w:val="fr_FR" w:bidi="fr_FR"/>
        </w:rPr>
        <w:t>1.1–9</w:t>
      </w:r>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r>
        <w:rPr>
          <w:lang w:val="fr_FR" w:bidi="fr_FR"/>
        </w:rPr>
        <w:t>1.10–14</w:t>
      </w:r>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r>
        <w:rPr>
          <w:lang w:val="fr_FR" w:bidi="fr_FR"/>
        </w:rPr>
        <w:t>1.15–21</w:t>
      </w:r>
      <w:r>
        <w:rPr>
          <w:lang w:val="fr_FR" w:bidi="fr_FR"/>
        </w:rPr>
        <w:t>), Abdias envisage la venue d’un jour du Seigneur qui formera à son apogée un Royaume universel appartenant à Dieu. Ceux qui font le mal subiront de terribles conséquences (</w:t>
      </w:r>
      <w:r>
        <w:rPr>
          <w:lang w:val="fr_FR" w:bidi="fr_FR"/>
        </w:rPr>
        <w:t>1.15–16</w:t>
      </w:r>
      <w:r>
        <w:rPr>
          <w:lang w:val="fr_FR" w:bidi="fr_FR"/>
        </w:rPr>
        <w:t>), et ceux qui ont souffert injustement seront restaurés (</w:t>
      </w:r>
      <w:r>
        <w:rPr>
          <w:lang w:val="fr_FR" w:bidi="fr_FR"/>
        </w:rPr>
        <w:t>1.17–21</w:t>
      </w:r>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r>
        <w:rPr>
          <w:lang w:val="fr_FR" w:bidi="fr_FR"/>
        </w:rPr>
        <w:t>1R 18.3–16</w:t>
      </w:r>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r>
        <w:rPr>
          <w:lang w:val="fr_FR" w:bidi="fr_FR"/>
        </w:rPr>
        <w:t>2R 25.1–30</w:t>
      </w:r>
      <w:r>
        <w:rPr>
          <w:lang w:val="fr_FR" w:bidi="fr_FR"/>
        </w:rPr>
        <w:t xml:space="preserve">). En dehors du livre d’Abdias, nous avons peu d’informations sur la réponse d’Édom à cet événement (voir aussi </w:t>
      </w:r>
      <w:r>
        <w:rPr>
          <w:lang w:val="fr_FR" w:bidi="fr_FR"/>
        </w:rPr>
        <w:t>Es 34.5–10</w:t>
      </w:r>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r>
        <w:rPr>
          <w:lang w:val="fr_FR" w:bidi="fr_FR"/>
        </w:rPr>
        <w:t>Jr 49.9</w:t>
      </w:r>
      <w:r>
        <w:rPr>
          <w:lang w:val="fr_FR" w:bidi="fr_FR"/>
        </w:rPr>
        <w:t xml:space="preserve">, </w:t>
      </w:r>
      <w:r>
        <w:rPr>
          <w:lang w:val="fr_FR" w:bidi="fr_FR"/>
        </w:rPr>
        <w:t>14–16</w:t>
      </w:r>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r>
        <w:rPr>
          <w:lang w:val="fr_FR" w:bidi="fr_FR"/>
        </w:rPr>
        <w:t>Jl 3.19</w:t>
      </w:r>
      <w:r>
        <w:rPr>
          <w:lang w:val="fr_FR" w:bidi="fr_FR"/>
        </w:rPr>
        <w:t xml:space="preserve"> et </w:t>
      </w:r>
      <w:r>
        <w:rPr>
          <w:lang w:val="fr_FR" w:bidi="fr_FR"/>
        </w:rPr>
        <w:t>Am 9.12</w:t>
      </w:r>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r>
        <w:rPr>
          <w:lang w:val="fr_FR" w:bidi="fr_FR"/>
        </w:rPr>
        <w:t>1.15</w:t>
      </w:r>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r>
        <w:rPr>
          <w:lang w:val="fr_FR" w:bidi="fr_FR"/>
        </w:rPr>
        <w:t>1.16</w:t>
      </w:r>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r>
        <w:rPr>
          <w:lang w:val="fr_FR" w:bidi="fr_FR"/>
        </w:rPr>
        <w:t>1.21</w:t>
      </w:r>
      <w:r>
        <w:rPr>
          <w:lang w:val="fr_FR" w:bidi="fr_FR"/>
        </w:rPr>
        <w:t>). Cet espoir d’Israël est devenu l’espoir du monde entier lorsque le Christ a annoncé que « Le Royaume de Dieu est proche » (</w:t>
      </w:r>
      <w:r>
        <w:rPr>
          <w:lang w:val="fr_FR" w:bidi="fr_FR"/>
        </w:rPr>
        <w:t>Mc 1.15</w:t>
      </w:r>
      <w:r>
        <w:rPr>
          <w:lang w:val="fr_FR" w:bidi="fr_FR"/>
        </w:rPr>
        <w:t xml:space="preserve"> ; </w:t>
      </w:r>
      <w:r>
        <w:rPr>
          <w:lang w:val="fr_FR" w:bidi="fr_FR"/>
        </w:rPr>
        <w:t>Lc 10.9–12</w:t>
      </w:r>
      <w:r>
        <w:rPr>
          <w:lang w:val="fr_FR" w:bidi="fr_FR"/>
        </w:rPr>
        <w:t xml:space="preserve"> ; </w:t>
      </w:r>
      <w:r>
        <w:rPr>
          <w:lang w:val="fr_FR" w:bidi="fr_FR"/>
        </w:rPr>
        <w:t>21.31–33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