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r>
        <w:rPr>
          <w:lang w:val="fr_FR" w:bidi="fr_FR"/>
        </w:rPr>
        <w:t>1.7</w:t>
      </w:r>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r>
        <w:rPr>
          <w:lang w:val="fr_FR" w:bidi="fr_FR"/>
        </w:rPr>
        <w:t>Ac 19.10</w:t>
      </w:r>
      <w:r>
        <w:rPr>
          <w:lang w:val="fr_FR" w:bidi="fr_FR"/>
        </w:rPr>
        <w:t>). Bien que Paul ne se soit pas rendu à Colosses (</w:t>
      </w:r>
      <w:r>
        <w:rPr>
          <w:lang w:val="fr_FR" w:bidi="fr_FR"/>
        </w:rPr>
        <w:t>Col 2.1</w:t>
      </w:r>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r>
        <w:rPr>
          <w:lang w:val="fr_FR" w:bidi="fr_FR"/>
        </w:rPr>
        <w:t>4.12</w:t>
      </w:r>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r>
        <w:rPr>
          <w:lang w:val="fr_FR" w:bidi="fr_FR"/>
        </w:rPr>
        <w:t>2.15</w:t>
      </w:r>
      <w:r>
        <w:rPr>
          <w:lang w:val="fr_FR" w:bidi="fr_FR"/>
        </w:rPr>
        <w:t>) et des « rudiments du monde » (</w:t>
      </w:r>
      <w:r>
        <w:rPr>
          <w:lang w:val="fr_FR" w:bidi="fr_FR"/>
        </w:rPr>
        <w:t xml:space="preserve">2.8, </w:t>
      </w:r>
      <w:r>
        <w:rPr>
          <w:lang w:val="fr_FR" w:bidi="fr_FR"/>
        </w:rPr>
        <w:t>20</w:t>
      </w:r>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r>
        <w:rPr>
          <w:lang w:val="fr_FR" w:bidi="fr_FR"/>
        </w:rPr>
        <w:t>chapitres 1–2</w:t>
      </w:r>
      <w:r>
        <w:rPr>
          <w:lang w:val="fr_FR" w:bidi="fr_FR"/>
        </w:rPr>
        <w:t xml:space="preserve"> traitent de la théologie tandis que les </w:t>
      </w:r>
      <w:r>
        <w:rPr>
          <w:lang w:val="fr_FR" w:bidi="fr_FR"/>
        </w:rPr>
        <w:t>chapitres 3–4</w:t>
      </w:r>
      <w:r>
        <w:rPr>
          <w:lang w:val="fr_FR" w:bidi="fr_FR"/>
        </w:rPr>
        <w:t xml:space="preserve"> traitent de questions pratiques.</w:t>
      </w:r>
    </w:p>
    <w:p>
      <w:pPr/>
      <w:r>
        <w:rPr>
          <w:lang w:val="fr_FR" w:bidi="fr_FR"/>
        </w:rPr>
      </w:r>
      <w:r>
        <w:rPr>
          <w:lang w:val="fr_FR" w:bidi="fr_FR"/>
        </w:rPr>
        <w:t>Les salutations de Paul (</w:t>
      </w:r>
      <w:r>
        <w:rPr>
          <w:lang w:val="fr_FR" w:bidi="fr_FR"/>
        </w:rPr>
        <w:t>1.1–2</w:t>
      </w:r>
      <w:r>
        <w:rPr>
          <w:lang w:val="fr_FR" w:bidi="fr_FR"/>
        </w:rPr>
        <w:t>) sont suivies d’une section consacrée aux remerciements (</w:t>
      </w:r>
      <w:r>
        <w:rPr>
          <w:lang w:val="fr_FR" w:bidi="fr_FR"/>
        </w:rPr>
        <w:t>1.3–14</w:t>
      </w:r>
      <w:r>
        <w:rPr>
          <w:lang w:val="fr_FR" w:bidi="fr_FR"/>
        </w:rPr>
        <w:t>). C’est de cette manière que commencent habituellement les lettres du Nouveau Testament. Ensuite, pour présenter son point de vue théologique principal, Paul cite et adapte un hymne sur la suprématie du Christ (</w:t>
      </w:r>
      <w:r>
        <w:rPr>
          <w:lang w:val="fr_FR" w:bidi="fr_FR"/>
        </w:rPr>
        <w:t>1.15–20</w:t>
      </w:r>
      <w:r>
        <w:rPr>
          <w:lang w:val="fr_FR" w:bidi="fr_FR"/>
        </w:rPr>
        <w:t>), puis en fait une application pratique (</w:t>
      </w:r>
      <w:r>
        <w:rPr>
          <w:lang w:val="fr_FR" w:bidi="fr_FR"/>
        </w:rPr>
        <w:t>1.21–23</w:t>
      </w:r>
      <w:r>
        <w:rPr>
          <w:lang w:val="fr_FR" w:bidi="fr_FR"/>
        </w:rPr>
        <w:t>) avant de discuter de son propre ministère en tant qu’apôtre des Gentils (</w:t>
      </w:r>
      <w:r>
        <w:rPr>
          <w:lang w:val="fr_FR" w:bidi="fr_FR"/>
        </w:rPr>
        <w:t>1.24–2.5</w:t>
      </w:r>
      <w:r>
        <w:rPr>
          <w:lang w:val="fr_FR" w:bidi="fr_FR"/>
        </w:rPr>
        <w:t>). Il revient ensuite à son thème principal, en exhortant les Colossiens à maintenir leur allégeance à Jésus-Christ, celui qui pourvoit à leur vie spirituelle (</w:t>
      </w:r>
      <w:r>
        <w:rPr>
          <w:lang w:val="fr_FR" w:bidi="fr_FR"/>
        </w:rPr>
        <w:t>2.6–15</w:t>
      </w:r>
      <w:r>
        <w:rPr>
          <w:lang w:val="fr_FR" w:bidi="fr_FR"/>
        </w:rPr>
        <w:t>). La partie théologique de la lettre se conclut par un avertissement contre l’obsession des règles comme moyen d’accomplissement spirituel (</w:t>
      </w:r>
      <w:r>
        <w:rPr>
          <w:lang w:val="fr_FR" w:bidi="fr_FR"/>
        </w:rPr>
        <w:t>2.16–23</w:t>
      </w:r>
      <w:r>
        <w:rPr>
          <w:lang w:val="fr_FR" w:bidi="fr_FR"/>
        </w:rPr>
        <w:t>).</w:t>
      </w:r>
    </w:p>
    <w:p>
      <w:pPr/>
      <w:r>
        <w:rPr>
          <w:lang w:val="fr_FR" w:bidi="fr_FR"/>
        </w:rPr>
      </w:r>
      <w:r>
        <w:rPr>
          <w:lang w:val="fr_FR" w:bidi="fr_FR"/>
        </w:rPr>
        <w:t>La partie plus pratique de la lettre (</w:t>
      </w:r>
      <w:r>
        <w:rPr>
          <w:lang w:val="fr_FR" w:bidi="fr_FR"/>
        </w:rPr>
        <w:t>chapitres 3–4</w:t>
      </w:r>
      <w:r>
        <w:rPr>
          <w:lang w:val="fr_FR" w:bidi="fr_FR"/>
        </w:rPr>
        <w:t>) commence par un appel général à se détourner du péché et à adopter la nouvelle vie en Christ (</w:t>
      </w:r>
      <w:r>
        <w:rPr>
          <w:lang w:val="fr_FR" w:bidi="fr_FR"/>
        </w:rPr>
        <w:t>3.1–11</w:t>
      </w:r>
      <w:r>
        <w:rPr>
          <w:lang w:val="fr_FR" w:bidi="fr_FR"/>
        </w:rPr>
        <w:t>). Paul poursuit avec des instructions concernant la communauté chrétienne (</w:t>
      </w:r>
      <w:r>
        <w:rPr>
          <w:lang w:val="fr_FR" w:bidi="fr_FR"/>
        </w:rPr>
        <w:t>3.12–17</w:t>
      </w:r>
      <w:r>
        <w:rPr>
          <w:lang w:val="fr_FR" w:bidi="fr_FR"/>
        </w:rPr>
        <w:t>) et la vie familiale (</w:t>
      </w:r>
      <w:r>
        <w:rPr>
          <w:lang w:val="fr_FR" w:bidi="fr_FR"/>
        </w:rPr>
        <w:t>3.18–4.1</w:t>
      </w:r>
      <w:r>
        <w:rPr>
          <w:lang w:val="fr_FR" w:bidi="fr_FR"/>
        </w:rPr>
        <w:t>). La lettre se termine par une exhortation à la prière (</w:t>
      </w:r>
      <w:r>
        <w:rPr>
          <w:lang w:val="fr_FR" w:bidi="fr_FR"/>
        </w:rPr>
        <w:t>4.2–6</w:t>
      </w:r>
      <w:r>
        <w:rPr>
          <w:lang w:val="fr_FR" w:bidi="fr_FR"/>
        </w:rPr>
        <w:t>) et des remarques sur les collaborateurs et d’autres chrétiens (</w:t>
      </w:r>
      <w:r>
        <w:rPr>
          <w:lang w:val="fr_FR" w:bidi="fr_FR"/>
        </w:rPr>
        <w:t>4.7–18</w:t>
      </w:r>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r>
        <w:rPr>
          <w:lang w:val="fr_FR" w:bidi="fr_FR"/>
        </w:rPr>
        <w:t>4.18</w:t>
      </w:r>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r>
        <w:rPr>
          <w:lang w:val="fr_FR" w:bidi="fr_FR"/>
        </w:rPr>
        <w:t>4.9</w:t>
      </w:r>
      <w:r>
        <w:rPr>
          <w:lang w:val="fr_FR" w:bidi="fr_FR"/>
        </w:rPr>
        <w:t>). Dans la lettre aux Colossiens (</w:t>
      </w:r>
      <w:r>
        <w:rPr>
          <w:lang w:val="fr_FR" w:bidi="fr_FR"/>
        </w:rPr>
        <w:t>4.7</w:t>
      </w:r>
      <w:r>
        <w:rPr>
          <w:lang w:val="fr_FR" w:bidi="fr_FR"/>
        </w:rPr>
        <w:t>) et aux Éphésiens (</w:t>
      </w:r>
      <w:r>
        <w:rPr>
          <w:lang w:val="fr_FR" w:bidi="fr_FR"/>
        </w:rPr>
        <w:t>Ep 6.21</w:t>
      </w:r>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r>
        <w:rPr>
          <w:lang w:val="fr_FR" w:bidi="fr_FR"/>
        </w:rPr>
        <w:t>2.16</w:t>
      </w:r>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r>
        <w:rPr>
          <w:lang w:val="fr_FR" w:bidi="fr_FR"/>
        </w:rPr>
        <w:t>2.19</w:t>
      </w:r>
      <w:r>
        <w:rPr>
          <w:lang w:val="fr_FR" w:bidi="fr_FR"/>
        </w:rPr>
        <w:t>). Les faux enseignants tiraient leur insistance sur les règles d’une source autre que le Christ, ce qui signifiait que ces règles ne pouvaient apporter aucun bénéfice spirituel (</w:t>
      </w:r>
      <w:r>
        <w:rPr>
          <w:lang w:val="fr_FR" w:bidi="fr_FR"/>
        </w:rPr>
        <w:t>2.23</w:t>
      </w:r>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r>
        <w:rPr>
          <w:lang w:val="fr_FR" w:bidi="fr_FR"/>
        </w:rPr>
        <w:t>2.16–23</w:t>
      </w:r>
      <w:r>
        <w:rPr>
          <w:lang w:val="fr_FR" w:bidi="fr_FR"/>
        </w:rPr>
        <w:t>). Au lieu de cela, tous les chrétiens devraient s’identifier à Christ dans sa mort et sa résurrection (</w:t>
      </w:r>
      <w:r>
        <w:rPr>
          <w:lang w:val="fr_FR" w:bidi="fr_FR"/>
        </w:rPr>
        <w:t>2.11</w:t>
      </w:r>
      <w:r>
        <w:rPr>
          <w:lang w:val="fr_FR" w:bidi="fr_FR"/>
        </w:rPr>
        <w:t xml:space="preserve">, </w:t>
      </w:r>
      <w:r>
        <w:rPr>
          <w:lang w:val="fr_FR" w:bidi="fr_FR"/>
        </w:rPr>
        <w:t xml:space="preserve">19–20 </w:t>
      </w:r>
      <w:r>
        <w:rPr>
          <w:lang w:val="fr_FR" w:bidi="fr_FR"/>
        </w:rPr>
        <w:t xml:space="preserve">; </w:t>
      </w:r>
      <w:r>
        <w:rPr>
          <w:lang w:val="fr_FR" w:bidi="fr_FR"/>
        </w:rPr>
        <w:t>3.1–4</w:t>
      </w:r>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