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r>
        <w:rPr>
          <w:lang w:val="fr_FR" w:bidi="fr_FR"/>
        </w:rPr>
        <w:t>Jc 1.1</w:t>
      </w:r>
      <w:r>
        <w:rPr>
          <w:lang w:val="fr_FR" w:bidi="fr_FR"/>
        </w:rPr>
        <w:t>) dispersés à travers le monde, à la suite de la persécution déclenchée par la mort d’Étienne (</w:t>
      </w:r>
      <w:r>
        <w:rPr>
          <w:lang w:val="fr_FR" w:bidi="fr_FR"/>
        </w:rPr>
        <w:t xml:space="preserve">Ac 8.1 </w:t>
      </w:r>
      <w:r>
        <w:rPr>
          <w:lang w:val="fr_FR" w:bidi="fr_FR"/>
        </w:rPr>
        <w:t xml:space="preserve">; </w:t>
      </w:r>
      <w:r>
        <w:rPr>
          <w:lang w:val="fr_FR" w:bidi="fr_FR"/>
        </w:rPr>
        <w:t>11.19</w:t>
      </w:r>
      <w:r>
        <w:rPr>
          <w:lang w:val="fr_FR" w:bidi="fr_FR"/>
        </w:rPr>
        <w:t xml:space="preserve">). Ces croyants vivent parmi les Juifs qui sont « </w:t>
      </w:r>
      <w:r>
        <w:rPr>
          <w:lang w:val="fr_FR" w:bidi="fr_FR"/>
        </w:rPr>
        <w:t>dans la dispersion</w:t>
      </w:r>
      <w:r>
        <w:rPr>
          <w:lang w:val="fr_FR" w:bidi="fr_FR"/>
        </w:rPr>
        <w:t xml:space="preserve"> », hors de leur patrie (</w:t>
      </w:r>
      <w:r>
        <w:rPr>
          <w:lang w:val="fr_FR" w:bidi="fr_FR"/>
        </w:rPr>
        <w:t xml:space="preserve">Jc 1.1 </w:t>
      </w:r>
      <w:r>
        <w:rPr>
          <w:lang w:val="fr_FR" w:bidi="fr_FR"/>
        </w:rPr>
        <w:t xml:space="preserve">; voir </w:t>
      </w:r>
      <w:r>
        <w:rPr>
          <w:lang w:val="fr_FR" w:bidi="fr_FR"/>
        </w:rPr>
        <w:t>Jn 7.35</w:t>
      </w:r>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r>
        <w:rPr>
          <w:lang w:val="fr_FR" w:bidi="fr_FR"/>
        </w:rPr>
        <w:t xml:space="preserve">Jc 4.13 </w:t>
      </w:r>
      <w:r>
        <w:rPr>
          <w:lang w:val="fr_FR" w:bidi="fr_FR"/>
        </w:rPr>
        <w:t xml:space="preserve">; </w:t>
      </w:r>
      <w:r>
        <w:rPr>
          <w:lang w:val="fr_FR" w:bidi="fr_FR"/>
        </w:rPr>
        <w:t xml:space="preserve">Ac 13.14 </w:t>
      </w:r>
      <w:r>
        <w:rPr>
          <w:lang w:val="fr_FR" w:bidi="fr_FR"/>
        </w:rPr>
        <w:t xml:space="preserve">; </w:t>
      </w:r>
      <w:r>
        <w:rPr>
          <w:lang w:val="fr_FR" w:bidi="fr_FR"/>
        </w:rPr>
        <w:t>17.1</w:t>
      </w:r>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r>
        <w:rPr>
          <w:lang w:val="fr_FR" w:bidi="fr_FR"/>
        </w:rPr>
        <w:t>Jc 2.6</w:t>
      </w:r>
      <w:r>
        <w:rPr>
          <w:lang w:val="fr_FR" w:bidi="fr_FR"/>
        </w:rPr>
        <w:t>) et les rejetait en raison de leur foi en Jésus-Christ (</w:t>
      </w:r>
      <w:r>
        <w:rPr>
          <w:lang w:val="fr_FR" w:bidi="fr_FR"/>
        </w:rPr>
        <w:t>2.7</w:t>
      </w:r>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r>
        <w:rPr>
          <w:lang w:val="fr_FR" w:bidi="fr_FR"/>
        </w:rPr>
        <w:t>1.25</w:t>
      </w:r>
      <w:r>
        <w:rPr>
          <w:lang w:val="fr_FR" w:bidi="fr_FR"/>
        </w:rPr>
        <w:t xml:space="preserve"> ; </w:t>
      </w:r>
      <w:r>
        <w:rPr>
          <w:lang w:val="fr_FR" w:bidi="fr_FR"/>
        </w:rPr>
        <w:t>2.8</w:t>
      </w:r>
      <w:r>
        <w:rPr>
          <w:lang w:val="fr_FR" w:bidi="fr_FR"/>
        </w:rPr>
        <w:t>). Jacques s’inspire également des propres enseignements de Jésus, notamment ceux consignés plus tard dans le « Sermon sur la Montagne » de Matthieu (</w:t>
      </w:r>
      <w:r>
        <w:rPr>
          <w:lang w:val="fr_FR" w:bidi="fr_FR"/>
        </w:rPr>
        <w:t>Mt 5–7</w:t>
      </w:r>
      <w:r>
        <w:rPr>
          <w:lang w:val="fr_FR" w:bidi="fr_FR"/>
        </w:rPr>
        <w:t>) et le « Discours dans la plaine » de Luc (</w:t>
      </w:r>
      <w:r>
        <w:rPr>
          <w:lang w:val="fr_FR" w:bidi="fr_FR"/>
        </w:rPr>
        <w:t>Lc 6.20–49</w:t>
      </w:r>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r>
        <w:rPr>
          <w:lang w:val="fr_FR" w:bidi="fr_FR"/>
        </w:rPr>
        <w:t>Mt 13.55</w:t>
      </w:r>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r>
        <w:rPr>
          <w:lang w:val="fr_FR" w:bidi="fr_FR"/>
        </w:rPr>
        <w:t>Mc 3.20–21</w:t>
      </w:r>
      <w:r>
        <w:rPr>
          <w:lang w:val="fr_FR" w:bidi="fr_FR"/>
        </w:rPr>
        <w:t xml:space="preserve"> ; cf. </w:t>
      </w:r>
      <w:r>
        <w:rPr>
          <w:lang w:val="fr_FR" w:bidi="fr_FR"/>
        </w:rPr>
        <w:t>Jn 7.3–5</w:t>
      </w:r>
      <w:r>
        <w:rPr>
          <w:lang w:val="fr_FR" w:bidi="fr_FR"/>
        </w:rPr>
        <w:t xml:space="preserve">). Ce n’est qu'après la résurrection que Jacques est devenu croyant, probablement à la suite d'une apparition personnelle de Jésus ressuscité, qui l’a convaincu que Jésus était véritablement le Christ (voir </w:t>
      </w:r>
      <w:r>
        <w:rPr>
          <w:lang w:val="fr_FR" w:bidi="fr_FR"/>
        </w:rPr>
        <w:t>1Co 15.7</w:t>
      </w:r>
      <w:r>
        <w:rPr>
          <w:lang w:val="fr_FR" w:bidi="fr_FR"/>
        </w:rPr>
        <w:t>). Jacques se trouvait parmi les autres croyants, dans la chambre haute, au moment où l'Esprit Saint a été donné, lors de la Pentecôte (</w:t>
      </w:r>
      <w:r>
        <w:rPr>
          <w:lang w:val="fr_FR" w:bidi="fr_FR"/>
        </w:rPr>
        <w:t>Ac 1.14</w:t>
      </w:r>
      <w:r>
        <w:rPr>
          <w:lang w:val="fr_FR" w:bidi="fr_FR"/>
        </w:rPr>
        <w:t xml:space="preserve"> ; </w:t>
      </w:r>
      <w:r>
        <w:rPr>
          <w:lang w:val="fr_FR" w:bidi="fr_FR"/>
        </w:rPr>
        <w:t>2.1–3</w:t>
      </w:r>
      <w:r>
        <w:rPr>
          <w:lang w:val="fr_FR" w:bidi="fr_FR"/>
        </w:rPr>
        <w:t xml:space="preserve">). Il a ensuite pris une position de direction au sein de l'église de Jérusalem (voir </w:t>
      </w:r>
      <w:r>
        <w:rPr>
          <w:lang w:val="fr_FR" w:bidi="fr_FR"/>
        </w:rPr>
        <w:t>Ac 15.13–22</w:t>
      </w:r>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r>
        <w:rPr>
          <w:lang w:val="fr_FR" w:bidi="fr_FR"/>
        </w:rPr>
        <w:t>Ac 12.1–5</w:t>
      </w:r>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r>
        <w:rPr>
          <w:lang w:val="fr_FR" w:bidi="fr_FR"/>
        </w:rPr>
        <w:t>Jc 2.2</w:t>
      </w:r>
      <w:r>
        <w:rPr>
          <w:lang w:val="fr_FR" w:bidi="fr_FR"/>
        </w:rPr>
        <w:t xml:space="preserve">) et </w:t>
      </w:r>
      <w:r>
        <w:rPr>
          <w:i/>
          <w:lang w:val="fr_FR" w:bidi="fr_FR"/>
        </w:rPr>
        <w:t>église</w:t>
      </w:r>
      <w:r>
        <w:rPr>
          <w:lang w:val="fr_FR" w:bidi="fr_FR"/>
        </w:rPr>
        <w:t xml:space="preserve"> (</w:t>
      </w:r>
      <w:r>
        <w:rPr>
          <w:lang w:val="fr_FR" w:bidi="fr_FR"/>
        </w:rPr>
        <w:t>5.14</w:t>
      </w:r>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r>
        <w:rPr>
          <w:lang w:val="fr_FR" w:bidi="fr_FR"/>
        </w:rPr>
        <w:t>1.23</w:t>
      </w:r>
      <w:r>
        <w:rPr>
          <w:lang w:val="fr_FR" w:bidi="fr_FR"/>
        </w:rPr>
        <w:t xml:space="preserve">, </w:t>
      </w:r>
      <w:r>
        <w:rPr>
          <w:lang w:val="fr_FR" w:bidi="fr_FR"/>
        </w:rPr>
        <w:t>25</w:t>
      </w:r>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r>
        <w:rPr>
          <w:lang w:val="fr_FR" w:bidi="fr_FR"/>
        </w:rPr>
        <w:t>Ac 15.13–22</w:t>
      </w:r>
      <w:r>
        <w:rPr>
          <w:lang w:val="fr_FR" w:bidi="fr_FR"/>
        </w:rPr>
        <w:t xml:space="preserve"> ; </w:t>
      </w:r>
      <w:r>
        <w:rPr>
          <w:lang w:val="fr_FR" w:bidi="fr_FR"/>
        </w:rPr>
        <w:t>21.18</w:t>
      </w:r>
      <w:r>
        <w:rPr>
          <w:lang w:val="fr_FR" w:bidi="fr_FR"/>
        </w:rPr>
        <w:t xml:space="preserve"> ; </w:t>
      </w:r>
      <w:r>
        <w:rPr>
          <w:lang w:val="fr_FR" w:bidi="fr_FR"/>
        </w:rPr>
        <w:t>Ga 1.18–19</w:t>
      </w:r>
      <w:r>
        <w:rPr>
          <w:lang w:val="fr_FR" w:bidi="fr_FR"/>
        </w:rPr>
        <w:t xml:space="preserve"> ; </w:t>
      </w:r>
      <w:r>
        <w:rPr>
          <w:lang w:val="fr_FR" w:bidi="fr_FR"/>
        </w:rPr>
        <w:t>2.9</w:t>
      </w:r>
      <w:r>
        <w:rPr>
          <w:lang w:val="fr_FR" w:bidi="fr_FR"/>
        </w:rPr>
        <w:t xml:space="preserve">, </w:t>
      </w:r>
      <w:r>
        <w:rPr>
          <w:lang w:val="fr_FR" w:bidi="fr_FR"/>
        </w:rPr>
        <w:t>12</w:t>
      </w:r>
      <w:r>
        <w:rPr>
          <w:lang w:val="fr_FR" w:bidi="fr_FR"/>
        </w:rPr>
        <w:t>). L’épître contient d’ailleurs plusieurs allusions à la réalité palestinienne : la chaleur ardente (</w:t>
      </w:r>
      <w:r>
        <w:rPr>
          <w:lang w:val="fr_FR" w:bidi="fr_FR"/>
        </w:rPr>
        <w:t>1.11</w:t>
      </w:r>
      <w:r>
        <w:rPr>
          <w:lang w:val="fr_FR" w:bidi="fr_FR"/>
        </w:rPr>
        <w:t>) ; les sources d’eau amère (</w:t>
      </w:r>
      <w:r>
        <w:rPr>
          <w:lang w:val="fr_FR" w:bidi="fr_FR"/>
        </w:rPr>
        <w:t>3.11–12</w:t>
      </w:r>
      <w:r>
        <w:rPr>
          <w:lang w:val="fr_FR" w:bidi="fr_FR"/>
        </w:rPr>
        <w:t>) ; la culture des figues, des olives et des vignes (</w:t>
      </w:r>
      <w:r>
        <w:rPr>
          <w:lang w:val="fr_FR" w:bidi="fr_FR"/>
        </w:rPr>
        <w:t>3.12</w:t>
      </w:r>
      <w:r>
        <w:rPr>
          <w:lang w:val="fr_FR" w:bidi="fr_FR"/>
        </w:rPr>
        <w:t>) ; la mer (</w:t>
      </w:r>
      <w:r>
        <w:rPr>
          <w:lang w:val="fr_FR" w:bidi="fr_FR"/>
        </w:rPr>
        <w:t>1.6</w:t>
      </w:r>
      <w:r>
        <w:rPr>
          <w:lang w:val="fr_FR" w:bidi="fr_FR"/>
        </w:rPr>
        <w:t xml:space="preserve"> ; </w:t>
      </w:r>
      <w:r>
        <w:rPr>
          <w:lang w:val="fr_FR" w:bidi="fr_FR"/>
        </w:rPr>
        <w:t>3.4</w:t>
      </w:r>
      <w:r>
        <w:rPr>
          <w:lang w:val="fr_FR" w:bidi="fr_FR"/>
        </w:rPr>
        <w:t xml:space="preserve">) ; et les pluies </w:t>
      </w:r>
      <w:r>
        <w:rPr>
          <w:lang w:val="fr_FR" w:bidi="fr_FR"/>
        </w:rPr>
        <w:t>de la première et de l’arrière-saison</w:t>
      </w:r>
      <w:r>
        <w:rPr>
          <w:lang w:val="fr_FR" w:bidi="fr_FR"/>
        </w:rPr>
        <w:t xml:space="preserve"> (</w:t>
      </w:r>
      <w:r>
        <w:rPr>
          <w:lang w:val="fr_FR" w:bidi="fr_FR"/>
        </w:rPr>
        <w:t>5.7</w:t>
      </w:r>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r>
        <w:rPr>
          <w:lang w:val="fr_FR" w:bidi="fr_FR"/>
        </w:rPr>
        <w:t>4.6</w:t>
      </w:r>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r>
        <w:rPr>
          <w:lang w:val="fr_FR" w:bidi="fr_FR"/>
        </w:rPr>
        <w:t>1.2</w:t>
      </w:r>
      <w:r>
        <w:rPr>
          <w:lang w:val="fr_FR" w:bidi="fr_FR"/>
        </w:rPr>
        <w:t xml:space="preserve"> ; </w:t>
      </w:r>
      <w:r>
        <w:rPr>
          <w:lang w:val="fr_FR" w:bidi="fr_FR"/>
        </w:rPr>
        <w:t>2.1</w:t>
      </w:r>
      <w:r>
        <w:rPr>
          <w:lang w:val="fr_FR" w:bidi="fr_FR"/>
        </w:rPr>
        <w:t xml:space="preserve"> ; </w:t>
      </w:r>
      <w:r>
        <w:rPr>
          <w:lang w:val="fr_FR" w:bidi="fr_FR"/>
        </w:rPr>
        <w:t>3.1</w:t>
      </w:r>
      <w:r>
        <w:rPr>
          <w:lang w:val="fr_FR" w:bidi="fr_FR"/>
        </w:rPr>
        <w:t xml:space="preserve"> ; </w:t>
      </w:r>
      <w:r>
        <w:rPr>
          <w:lang w:val="fr_FR" w:bidi="fr_FR"/>
        </w:rPr>
        <w:t>4.11</w:t>
      </w:r>
      <w:r>
        <w:rPr>
          <w:lang w:val="fr_FR" w:bidi="fr_FR"/>
        </w:rPr>
        <w:t>), des questions rhétoriques (</w:t>
      </w:r>
      <w:r>
        <w:rPr>
          <w:lang w:val="fr_FR" w:bidi="fr_FR"/>
        </w:rPr>
        <w:t>2.5</w:t>
      </w:r>
      <w:r>
        <w:rPr>
          <w:lang w:val="fr_FR" w:bidi="fr_FR"/>
        </w:rPr>
        <w:t xml:space="preserve"> ; </w:t>
      </w:r>
      <w:r>
        <w:rPr>
          <w:lang w:val="fr_FR" w:bidi="fr_FR"/>
        </w:rPr>
        <w:t>3.11–12</w:t>
      </w:r>
      <w:r>
        <w:rPr>
          <w:lang w:val="fr_FR" w:bidi="fr_FR"/>
        </w:rPr>
        <w:t xml:space="preserve"> ; </w:t>
      </w:r>
      <w:r>
        <w:rPr>
          <w:lang w:val="fr_FR" w:bidi="fr_FR"/>
        </w:rPr>
        <w:t>4.1</w:t>
      </w:r>
      <w:r>
        <w:rPr>
          <w:lang w:val="fr_FR" w:bidi="fr_FR"/>
        </w:rPr>
        <w:t>), des exhortations directes et impératives (</w:t>
      </w:r>
      <w:r>
        <w:rPr>
          <w:lang w:val="fr_FR" w:bidi="fr_FR"/>
        </w:rPr>
        <w:t>1.16</w:t>
      </w:r>
      <w:r>
        <w:rPr>
          <w:lang w:val="fr_FR" w:bidi="fr_FR"/>
        </w:rPr>
        <w:t xml:space="preserve"> ; </w:t>
      </w:r>
      <w:r>
        <w:rPr>
          <w:lang w:val="fr_FR" w:bidi="fr_FR"/>
        </w:rPr>
        <w:t>3.1</w:t>
      </w:r>
      <w:r>
        <w:rPr>
          <w:lang w:val="fr_FR" w:bidi="fr_FR"/>
        </w:rPr>
        <w:t xml:space="preserve"> ; </w:t>
      </w:r>
      <w:r>
        <w:rPr>
          <w:lang w:val="fr_FR" w:bidi="fr_FR"/>
        </w:rPr>
        <w:t>5.16</w:t>
      </w:r>
      <w:r>
        <w:rPr>
          <w:lang w:val="fr_FR" w:bidi="fr_FR"/>
        </w:rPr>
        <w:t>), des métaphores et des illustrations tirées du quotidien (</w:t>
      </w:r>
      <w:r>
        <w:rPr>
          <w:lang w:val="fr_FR" w:bidi="fr_FR"/>
        </w:rPr>
        <w:t>2.26</w:t>
      </w:r>
      <w:r>
        <w:rPr>
          <w:lang w:val="fr_FR" w:bidi="fr_FR"/>
        </w:rPr>
        <w:t xml:space="preserve"> ; </w:t>
      </w:r>
      <w:r>
        <w:rPr>
          <w:lang w:val="fr_FR" w:bidi="fr_FR"/>
        </w:rPr>
        <w:t>3.3–5</w:t>
      </w:r>
      <w:r>
        <w:rPr>
          <w:lang w:val="fr_FR" w:bidi="fr_FR"/>
        </w:rPr>
        <w:t xml:space="preserve"> ; </w:t>
      </w:r>
      <w:r>
        <w:rPr>
          <w:lang w:val="fr_FR" w:bidi="fr_FR"/>
        </w:rPr>
        <w:t>4.14</w:t>
      </w:r>
      <w:r>
        <w:rPr>
          <w:lang w:val="fr_FR" w:bidi="fr_FR"/>
        </w:rPr>
        <w:t>), ainsi que des formules percutantes qui condensent le message de sections entières (</w:t>
      </w:r>
      <w:r>
        <w:rPr>
          <w:lang w:val="fr_FR" w:bidi="fr_FR"/>
        </w:rPr>
        <w:t>2.13</w:t>
      </w:r>
      <w:r>
        <w:rPr>
          <w:lang w:val="fr_FR" w:bidi="fr_FR"/>
        </w:rPr>
        <w:t xml:space="preserve">, </w:t>
      </w:r>
      <w:r>
        <w:rPr>
          <w:lang w:val="fr_FR" w:bidi="fr_FR"/>
        </w:rPr>
        <w:t>17</w:t>
      </w:r>
      <w:r>
        <w:rPr>
          <w:lang w:val="fr_FR" w:bidi="fr_FR"/>
        </w:rPr>
        <w:t xml:space="preserve"> ; </w:t>
      </w:r>
      <w:r>
        <w:rPr>
          <w:lang w:val="fr_FR" w:bidi="fr_FR"/>
        </w:rPr>
        <w:t>3.18</w:t>
      </w:r>
      <w:r>
        <w:rPr>
          <w:lang w:val="fr_FR" w:bidi="fr_FR"/>
        </w:rPr>
        <w:t xml:space="preserve"> ; </w:t>
      </w:r>
      <w:r>
        <w:rPr>
          <w:lang w:val="fr_FR" w:bidi="fr_FR"/>
        </w:rPr>
        <w:t>4.17</w:t>
      </w:r>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r>
        <w:rPr>
          <w:lang w:val="fr_FR" w:bidi="fr_FR"/>
        </w:rPr>
        <w:t>Jc 1.6</w:t>
      </w:r>
      <w:r>
        <w:rPr>
          <w:lang w:val="fr_FR" w:bidi="fr_FR"/>
        </w:rPr>
        <w:t>). Jacques exhorte à la patience dans l’épreuve (</w:t>
      </w:r>
      <w:r>
        <w:rPr>
          <w:lang w:val="fr_FR" w:bidi="fr_FR"/>
        </w:rPr>
        <w:t>1.3</w:t>
      </w:r>
      <w:r>
        <w:rPr>
          <w:lang w:val="fr_FR" w:bidi="fr_FR"/>
        </w:rPr>
        <w:t>), à la soumission à Dieu (</w:t>
      </w:r>
      <w:r>
        <w:rPr>
          <w:lang w:val="fr_FR" w:bidi="fr_FR"/>
        </w:rPr>
        <w:t>4.7</w:t>
      </w:r>
      <w:r>
        <w:rPr>
          <w:lang w:val="fr_FR" w:bidi="fr_FR"/>
        </w:rPr>
        <w:t>) et à une implication active dans la vie et les ministères de la communauté (</w:t>
      </w:r>
      <w:r>
        <w:rPr>
          <w:lang w:val="fr_FR" w:bidi="fr_FR"/>
        </w:rPr>
        <w:t>5.13–20</w:t>
      </w:r>
      <w:r>
        <w:rPr>
          <w:lang w:val="fr_FR" w:bidi="fr_FR"/>
        </w:rPr>
        <w:t>). Cette manière de vivre mène à la maturité spirituelle (</w:t>
      </w:r>
      <w:r>
        <w:rPr>
          <w:lang w:val="fr_FR" w:bidi="fr_FR"/>
        </w:rPr>
        <w:t>1.4</w:t>
      </w:r>
      <w:r>
        <w:rPr>
          <w:lang w:val="fr_FR" w:bidi="fr_FR"/>
        </w:rPr>
        <w:t>), à l'honneur (</w:t>
      </w:r>
      <w:r>
        <w:rPr>
          <w:lang w:val="fr_FR" w:bidi="fr_FR"/>
        </w:rPr>
        <w:t>4.10</w:t>
      </w:r>
      <w:r>
        <w:rPr>
          <w:lang w:val="fr_FR" w:bidi="fr_FR"/>
        </w:rPr>
        <w:t>) et à la couronne de vie (</w:t>
      </w:r>
      <w:r>
        <w:rPr>
          <w:lang w:val="fr_FR" w:bidi="fr_FR"/>
        </w:rPr>
        <w:t>1.12</w:t>
      </w:r>
      <w:r>
        <w:rPr>
          <w:lang w:val="fr_FR" w:bidi="fr_FR"/>
        </w:rPr>
        <w:t xml:space="preserve">) promise lors de </w:t>
      </w:r>
      <w:r>
        <w:rPr>
          <w:lang w:val="fr_FR" w:bidi="fr_FR"/>
        </w:rPr>
        <w:t xml:space="preserve">l’avènement du Seigneur </w:t>
      </w:r>
      <w:r>
        <w:rPr>
          <w:lang w:val="fr_FR" w:bidi="fr_FR"/>
        </w:rPr>
        <w:t>Jésus-Christ (</w:t>
      </w:r>
      <w:r>
        <w:rPr>
          <w:lang w:val="fr_FR" w:bidi="fr_FR"/>
        </w:rPr>
        <w:t>5.8</w:t>
      </w:r>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r>
        <w:rPr>
          <w:lang w:val="fr_FR" w:bidi="fr_FR"/>
        </w:rPr>
        <w:t>Ac 21.18–25</w:t>
      </w:r>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r>
        <w:rPr>
          <w:lang w:val="fr_FR" w:bidi="fr_FR"/>
        </w:rPr>
        <w:t>Ac 15.19–22</w:t>
      </w:r>
      <w:r>
        <w:rPr>
          <w:lang w:val="fr_FR" w:bidi="fr_FR"/>
        </w:rPr>
        <w:t xml:space="preserve"> ; voir </w:t>
      </w:r>
      <w:r>
        <w:rPr>
          <w:lang w:val="fr_FR" w:bidi="fr_FR"/>
        </w:rPr>
        <w:t>Gn 9.1–17</w:t>
      </w:r>
      <w:r>
        <w:rPr>
          <w:lang w:val="fr_FR" w:bidi="fr_FR"/>
        </w:rPr>
        <w:t>). Dans sa lettre, Jacques soutient la loi (</w:t>
      </w:r>
      <w:r>
        <w:rPr>
          <w:lang w:val="fr_FR" w:bidi="fr_FR"/>
        </w:rPr>
        <w:t>Jc 1.25</w:t>
      </w:r>
      <w:r>
        <w:rPr>
          <w:lang w:val="fr_FR" w:bidi="fr_FR"/>
        </w:rPr>
        <w:t>), tout en l’interprétant à la lumière de Jésus, le Messie (</w:t>
      </w:r>
      <w:r>
        <w:rPr>
          <w:lang w:val="fr_FR" w:bidi="fr_FR"/>
        </w:rPr>
        <w:t>2.8–11</w:t>
      </w:r>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r>
        <w:rPr>
          <w:lang w:val="fr_FR" w:bidi="fr_FR"/>
        </w:rPr>
        <w:t>Rm 2.29</w:t>
      </w:r>
      <w:r>
        <w:rPr>
          <w:lang w:val="fr_FR" w:bidi="fr_FR"/>
        </w:rPr>
        <w:t>). Il s’adresse à ses lecteurs comme aux « douze tribus » (</w:t>
      </w:r>
      <w:r>
        <w:rPr>
          <w:lang w:val="fr_FR" w:bidi="fr_FR"/>
        </w:rPr>
        <w:t>1.1</w:t>
      </w:r>
      <w:r>
        <w:rPr>
          <w:lang w:val="fr_FR" w:bidi="fr_FR"/>
        </w:rPr>
        <w:t xml:space="preserve">), appelle leur assemblée </w:t>
      </w:r>
      <w:r>
        <w:rPr>
          <w:i/>
          <w:lang w:val="fr_FR" w:bidi="fr_FR"/>
        </w:rPr>
        <w:t>synagogue</w:t>
      </w:r>
      <w:r>
        <w:rPr>
          <w:lang w:val="fr_FR" w:bidi="fr_FR"/>
        </w:rPr>
        <w:t xml:space="preserve"> (</w:t>
      </w:r>
      <w:r>
        <w:rPr>
          <w:lang w:val="fr_FR" w:bidi="fr_FR"/>
        </w:rPr>
        <w:t>2.2</w:t>
      </w:r>
      <w:r>
        <w:rPr>
          <w:lang w:val="fr_FR" w:bidi="fr_FR"/>
        </w:rPr>
        <w:t>), et mentionne les anciens (</w:t>
      </w:r>
      <w:r>
        <w:rPr>
          <w:lang w:val="fr_FR" w:bidi="fr_FR"/>
        </w:rPr>
        <w:t>5.14</w:t>
      </w:r>
      <w:r>
        <w:rPr>
          <w:lang w:val="fr_FR" w:bidi="fr_FR"/>
        </w:rPr>
        <w:t>) ainsi que les enseignants (</w:t>
      </w:r>
      <w:r>
        <w:rPr>
          <w:lang w:val="fr_FR" w:bidi="fr_FR"/>
        </w:rPr>
        <w:t>3.1</w:t>
      </w:r>
      <w:r>
        <w:rPr>
          <w:lang w:val="fr_FR" w:bidi="fr_FR"/>
        </w:rPr>
        <w:t>). Il fait allusion à la loi de Moïse à plusieurs reprises (</w:t>
      </w:r>
      <w:r>
        <w:rPr>
          <w:lang w:val="fr_FR" w:bidi="fr_FR"/>
        </w:rPr>
        <w:t>1.25</w:t>
      </w:r>
      <w:r>
        <w:rPr>
          <w:lang w:val="fr_FR" w:bidi="fr_FR"/>
        </w:rPr>
        <w:t xml:space="preserve"> ; </w:t>
      </w:r>
      <w:r>
        <w:rPr>
          <w:lang w:val="fr_FR" w:bidi="fr_FR"/>
        </w:rPr>
        <w:t>2.8–12</w:t>
      </w:r>
      <w:r>
        <w:rPr>
          <w:lang w:val="fr_FR" w:bidi="fr_FR"/>
        </w:rPr>
        <w:t xml:space="preserve"> ; </w:t>
      </w:r>
      <w:r>
        <w:rPr>
          <w:lang w:val="fr_FR" w:bidi="fr_FR"/>
        </w:rPr>
        <w:t>4.11</w:t>
      </w:r>
      <w:r>
        <w:rPr>
          <w:lang w:val="fr_FR" w:bidi="fr_FR"/>
        </w:rPr>
        <w:t xml:space="preserve">), cite le </w:t>
      </w:r>
      <w:r>
        <w:rPr>
          <w:i/>
          <w:lang w:val="fr_FR" w:bidi="fr_FR"/>
        </w:rPr>
        <w:t>Shema</w:t>
      </w:r>
      <w:r>
        <w:rPr>
          <w:lang w:val="fr_FR" w:bidi="fr_FR"/>
        </w:rPr>
        <w:t>, confession centrale d’Israël (</w:t>
      </w:r>
      <w:r>
        <w:rPr>
          <w:lang w:val="fr_FR" w:bidi="fr_FR"/>
        </w:rPr>
        <w:t>2.19</w:t>
      </w:r>
      <w:r>
        <w:rPr>
          <w:lang w:val="fr_FR" w:bidi="fr_FR"/>
        </w:rPr>
        <w:t xml:space="preserve">), et nomme Dieu le « </w:t>
      </w:r>
      <w:r>
        <w:rPr>
          <w:lang w:val="fr_FR" w:bidi="fr_FR"/>
        </w:rPr>
        <w:t>Seigneur des armées</w:t>
      </w:r>
      <w:r>
        <w:rPr>
          <w:lang w:val="fr_FR" w:bidi="fr_FR"/>
        </w:rPr>
        <w:t xml:space="preserve"> » (</w:t>
      </w:r>
      <w:r>
        <w:rPr>
          <w:lang w:val="fr_FR" w:bidi="fr_FR"/>
        </w:rPr>
        <w:t>5.4</w:t>
      </w:r>
      <w:r>
        <w:rPr>
          <w:lang w:val="fr_FR" w:bidi="fr_FR"/>
        </w:rPr>
        <w:t>), un titre courant dans l'Ancien Testament pour parler de Dieu. Jacques adopte aussi les formes de la littérature de sagesse de l'Ancien Testament (</w:t>
      </w:r>
      <w:r>
        <w:rPr>
          <w:lang w:val="fr_FR" w:bidi="fr_FR"/>
        </w:rPr>
        <w:t>1.5</w:t>
      </w:r>
      <w:r>
        <w:rPr>
          <w:lang w:val="fr_FR" w:bidi="fr_FR"/>
        </w:rPr>
        <w:t xml:space="preserve"> ; </w:t>
      </w:r>
      <w:r>
        <w:rPr>
          <w:lang w:val="fr_FR" w:bidi="fr_FR"/>
        </w:rPr>
        <w:t>3.13</w:t>
      </w:r>
      <w:r>
        <w:rPr>
          <w:lang w:val="fr_FR" w:bidi="fr_FR"/>
        </w:rPr>
        <w:t xml:space="preserve">, </w:t>
      </w:r>
      <w:r>
        <w:rPr>
          <w:lang w:val="fr_FR" w:bidi="fr_FR"/>
        </w:rPr>
        <w:t>17</w:t>
      </w:r>
      <w:r>
        <w:rPr>
          <w:lang w:val="fr_FR" w:bidi="fr_FR"/>
        </w:rPr>
        <w:t>) et des exhortations prophétiques (</w:t>
      </w:r>
      <w:r>
        <w:rPr>
          <w:lang w:val="fr_FR" w:bidi="fr_FR"/>
        </w:rPr>
        <w:t>4.13</w:t>
      </w:r>
      <w:r>
        <w:rPr>
          <w:lang w:val="fr_FR" w:bidi="fr_FR"/>
        </w:rPr>
        <w:t xml:space="preserve"> ; </w:t>
      </w:r>
      <w:r>
        <w:rPr>
          <w:lang w:val="fr_FR" w:bidi="fr_FR"/>
        </w:rPr>
        <w:t>5.1</w:t>
      </w:r>
      <w:r>
        <w:rPr>
          <w:lang w:val="fr_FR" w:bidi="fr_FR"/>
        </w:rPr>
        <w:t>). Il évoque des figures emblématiques d’Israël comme Abraham (</w:t>
      </w:r>
      <w:r>
        <w:rPr>
          <w:lang w:val="fr_FR" w:bidi="fr_FR"/>
        </w:rPr>
        <w:t>2.21</w:t>
      </w:r>
      <w:r>
        <w:rPr>
          <w:lang w:val="fr_FR" w:bidi="fr_FR"/>
        </w:rPr>
        <w:t xml:space="preserve">, </w:t>
      </w:r>
      <w:r>
        <w:rPr>
          <w:lang w:val="fr_FR" w:bidi="fr_FR"/>
        </w:rPr>
        <w:t>23</w:t>
      </w:r>
      <w:r>
        <w:rPr>
          <w:lang w:val="fr_FR" w:bidi="fr_FR"/>
        </w:rPr>
        <w:t>), Rahab (</w:t>
      </w:r>
      <w:r>
        <w:rPr>
          <w:lang w:val="fr_FR" w:bidi="fr_FR"/>
        </w:rPr>
        <w:t>2.25</w:t>
      </w:r>
      <w:r>
        <w:rPr>
          <w:lang w:val="fr_FR" w:bidi="fr_FR"/>
        </w:rPr>
        <w:t>) ; Job (</w:t>
      </w:r>
      <w:r>
        <w:rPr>
          <w:lang w:val="fr_FR" w:bidi="fr_FR"/>
        </w:rPr>
        <w:t>5.11</w:t>
      </w:r>
      <w:r>
        <w:rPr>
          <w:lang w:val="fr_FR" w:bidi="fr_FR"/>
        </w:rPr>
        <w:t>) ; Élie (</w:t>
      </w:r>
      <w:r>
        <w:rPr>
          <w:lang w:val="fr_FR" w:bidi="fr_FR"/>
        </w:rPr>
        <w:t>5.17</w:t>
      </w:r>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r>
        <w:rPr>
          <w:lang w:val="fr_FR" w:bidi="fr_FR"/>
        </w:rPr>
        <w:t>Ep 2.8–9</w:t>
      </w:r>
      <w:r>
        <w:rPr>
          <w:lang w:val="fr_FR" w:bidi="fr_FR"/>
        </w:rPr>
        <w:t xml:space="preserve">). Il affirme que personne ne peut être juste devant Dieu en « </w:t>
      </w:r>
      <w:r>
        <w:rPr>
          <w:lang w:val="fr_FR" w:bidi="fr_FR"/>
        </w:rPr>
        <w:t xml:space="preserve">par les œuvres de la loi </w:t>
      </w:r>
      <w:r>
        <w:rPr>
          <w:lang w:val="fr_FR" w:bidi="fr_FR"/>
        </w:rPr>
        <w:t>» (</w:t>
      </w:r>
      <w:r>
        <w:rPr>
          <w:lang w:val="fr_FR" w:bidi="fr_FR"/>
        </w:rPr>
        <w:t>Rm 3.20</w:t>
      </w:r>
      <w:r>
        <w:rPr>
          <w:lang w:val="fr_FR" w:bidi="fr_FR"/>
        </w:rPr>
        <w:t xml:space="preserve">, </w:t>
      </w:r>
      <w:r>
        <w:rPr>
          <w:lang w:val="fr_FR" w:bidi="fr_FR"/>
        </w:rPr>
        <w:t>28</w:t>
      </w:r>
      <w:r>
        <w:rPr>
          <w:lang w:val="fr_FR" w:bidi="fr_FR"/>
        </w:rPr>
        <w:t xml:space="preserve"> ; </w:t>
      </w:r>
      <w:r>
        <w:rPr>
          <w:lang w:val="fr_FR" w:bidi="fr_FR"/>
        </w:rPr>
        <w:t>Ga 2.16</w:t>
      </w:r>
      <w:r>
        <w:rPr>
          <w:lang w:val="fr_FR" w:bidi="fr_FR"/>
        </w:rPr>
        <w:t>) ni par quelque action humaine que ce soit (</w:t>
      </w:r>
      <w:r>
        <w:rPr>
          <w:lang w:val="fr_FR" w:bidi="fr_FR"/>
        </w:rPr>
        <w:t>Rm 4.3–5</w:t>
      </w:r>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r>
        <w:rPr>
          <w:lang w:val="fr_FR" w:bidi="fr_FR"/>
        </w:rPr>
        <w:t>2.19</w:t>
      </w:r>
      <w:r>
        <w:rPr>
          <w:lang w:val="fr_FR" w:bidi="fr_FR"/>
        </w:rPr>
        <w:t>), et la fidélité ne supporte aucun compromis entre Dieu et le monde (</w:t>
      </w:r>
      <w:r>
        <w:rPr>
          <w:lang w:val="fr_FR" w:bidi="fr_FR"/>
        </w:rPr>
        <w:t>1.8</w:t>
      </w:r>
      <w:r>
        <w:rPr>
          <w:lang w:val="fr_FR" w:bidi="fr_FR"/>
        </w:rPr>
        <w:t xml:space="preserve"> ; </w:t>
      </w:r>
      <w:r>
        <w:rPr>
          <w:lang w:val="fr_FR" w:bidi="fr_FR"/>
        </w:rPr>
        <w:t>4.4</w:t>
      </w:r>
      <w:r>
        <w:rPr>
          <w:lang w:val="fr_FR" w:bidi="fr_FR"/>
        </w:rPr>
        <w:t xml:space="preserve">, </w:t>
      </w:r>
      <w:r>
        <w:rPr>
          <w:lang w:val="fr_FR" w:bidi="fr_FR"/>
        </w:rPr>
        <w:t>7</w:t>
      </w:r>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