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2"/>
      </w:pPr>
      <w:r>
        <w:rPr>
          <w:lang w:val="hi_IN" w:bidi="hi_IN"/>
        </w:rPr>
        <w:t xml:space="preserve">सन्दर्भ </w:t>
      </w:r>
    </w:p>
    <w:p>
      <w:pPr/>
      <w:r>
        <w:rPr>
          <w:lang w:val="hi_IN" w:bidi="hi_IN"/>
        </w:rPr>
      </w:r>
      <w:r>
        <w:rPr>
          <w:lang w:val="hi_IN" w:bidi="hi_IN"/>
        </w:rP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pPr/>
      <w:r>
        <w:rPr>
          <w:lang w:val="hi_IN" w:bidi="hi_IN"/>
        </w:rPr>
      </w:r>
      <w:r>
        <w:rPr>
          <w:lang w:val="hi_IN" w:bidi="hi_IN"/>
        </w:rPr>
        <w:t xml:space="preserve">फिलिप्पी नगर ने मसीह का सुसमाचार प्रेरित पौलुस से उनकी दूसरी मिशनरी यात्रा (लगभग 50 ईस्वी; देखें </w:t>
      </w:r>
      <w:r>
        <w:rPr>
          <w:lang w:val="hi_IN" w:bidi="hi_IN"/>
        </w:rPr>
        <w:t>प्रेरि 16:11–40</w:t>
      </w:r>
      <w:r>
        <w:rPr>
          <w:lang w:val="hi_IN" w:bidi="hi_IN"/>
        </w:rP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r>
        <w:rPr>
          <w:lang w:val="hi_IN" w:bidi="hi_IN"/>
        </w:rPr>
        <w:t>प्रेरि 16:35–40</w:t>
      </w:r>
      <w:r>
        <w:rPr>
          <w:lang w:val="hi_IN" w:bidi="hi_IN"/>
        </w:rPr>
        <w:t>)।</w:t>
      </w:r>
    </w:p>
    <w:p>
      <w:pPr/>
      <w:r>
        <w:rPr>
          <w:lang w:val="hi_IN" w:bidi="hi_IN"/>
        </w:rPr>
      </w:r>
      <w:r>
        <w:rPr>
          <w:lang w:val="hi_IN" w:bidi="hi_IN"/>
        </w:rPr>
        <w:t xml:space="preserve">लगभग छः वर्ष बाद (56–57 ईस्वी), अपनी तीसरे मिशनरी यात्रा के दौरान, प्रेरित पौलुस ने पुनः फिलिप्पी का दौरा किया (देखें </w:t>
      </w:r>
      <w:r>
        <w:rPr>
          <w:lang w:val="hi_IN" w:bidi="hi_IN"/>
        </w:rPr>
        <w:t>प्रेरि 20:1–6</w:t>
      </w:r>
      <w:r>
        <w:rPr>
          <w:lang w:val="hi_IN" w:bidi="hi_IN"/>
        </w:rPr>
        <w:t xml:space="preserve">)। सम्भव है कि इस यात्रा के बाद वे फिर कभी फिलिप्पी के मसीहियों से नहीं मिले (लेकिन देखें </w:t>
      </w:r>
      <w:r>
        <w:rPr>
          <w:lang w:val="hi_IN" w:bidi="hi_IN"/>
        </w:rPr>
        <w:t>1 तीमु 1:3</w:t>
      </w:r>
      <w:r>
        <w:rPr>
          <w:lang w:val="hi_IN" w:bidi="hi_IN"/>
        </w:rPr>
        <w:t>, जो लगभग 63 ईस्वी में लिखा गया था)।</w:t>
      </w:r>
    </w:p>
    <w:p>
      <w:pPr/>
      <w:r>
        <w:rPr>
          <w:lang w:val="hi_IN" w:bidi="hi_IN"/>
        </w:rPr>
      </w:r>
      <w:r>
        <w:rPr>
          <w:lang w:val="hi_IN" w:bidi="hi_IN"/>
        </w:rP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2"/>
      </w:pPr>
      <w:r>
        <w:rPr>
          <w:lang w:val="hi_IN" w:bidi="hi_IN"/>
        </w:rPr>
        <w:t>सारांश</w:t>
      </w:r>
    </w:p>
    <w:p>
      <w:pPr/>
      <w:r>
        <w:rPr>
          <w:lang w:val="hi_IN" w:bidi="hi_IN"/>
        </w:rPr>
      </w:r>
      <w:r>
        <w:rPr>
          <w:lang w:val="hi_IN" w:bidi="hi_IN"/>
        </w:rPr>
        <w:t>संक्षिप्त परिचय (</w:t>
      </w:r>
      <w:r>
        <w:rPr>
          <w:lang w:val="hi_IN" w:bidi="hi_IN"/>
        </w:rPr>
        <w:t>1:1–2</w:t>
      </w:r>
      <w:r>
        <w:rPr>
          <w:lang w:val="hi_IN" w:bidi="hi_IN"/>
        </w:rPr>
        <w:t>) के बाद, पौलुस फिलिप्पियों के लिये परमेश्वर के प्रति अपनी कृतज्ञता प्रकट करते हैं और उनकी आत्मिक उन्नति के लिये प्रार्थना करते हैं (</w:t>
      </w:r>
      <w:r>
        <w:rPr>
          <w:lang w:val="hi_IN" w:bidi="hi_IN"/>
        </w:rPr>
        <w:t>1:3–11</w:t>
      </w:r>
      <w:r>
        <w:rPr>
          <w:lang w:val="hi_IN" w:bidi="hi_IN"/>
        </w:rPr>
        <w:t>)। इसके बाद, वे अपने बन्दी होने के अनुभव के विषय में बताते हैं और कैसे इससे सुसमाचार के प्रचार में वृद्धि हुई है (</w:t>
      </w:r>
      <w:r>
        <w:rPr>
          <w:lang w:val="hi_IN" w:bidi="hi_IN"/>
        </w:rPr>
        <w:t>1:12–19</w:t>
      </w:r>
      <w:r>
        <w:rPr>
          <w:lang w:val="hi_IN" w:bidi="hi_IN"/>
        </w:rPr>
        <w:t>)। पौलुस की सबसे बड़ी लालसा यह है कि वे किसी भी परिस्थिति में मसीह के लिये जीवित रहें और मरें (</w:t>
      </w:r>
      <w:r>
        <w:rPr>
          <w:lang w:val="hi_IN" w:bidi="hi_IN"/>
        </w:rPr>
        <w:t>1:20–26</w:t>
      </w:r>
      <w:r>
        <w:rPr>
          <w:lang w:val="hi_IN" w:bidi="hi_IN"/>
        </w:rPr>
        <w:t>)। इसी प्रकार, फिलिप्पियों को भी मसीह के लिये दुःख उठाते हुए अपने विश्वास में दृढ़ रहना चाहिए (</w:t>
      </w:r>
      <w:r>
        <w:rPr>
          <w:lang w:val="hi_IN" w:bidi="hi_IN"/>
        </w:rPr>
        <w:t>1:27–30</w:t>
      </w:r>
      <w:r>
        <w:rPr>
          <w:lang w:val="hi_IN" w:bidi="hi_IN"/>
        </w:rPr>
        <w:t>)। उन्हें मसीह के उदाहरण को स्मरण करते हुए दिल से एक-दूसरे का साथ देना चाहिए, जिन्होंने उनके लिये अपना जीवन बलिदान करने में सब कुछ त्याग दिया (</w:t>
      </w:r>
      <w:r>
        <w:rPr>
          <w:lang w:val="hi_IN" w:bidi="hi_IN"/>
        </w:rPr>
        <w:t>2:1–18</w:t>
      </w:r>
      <w:r>
        <w:rPr>
          <w:lang w:val="hi_IN" w:bidi="hi_IN"/>
        </w:rPr>
        <w:t>)।</w:t>
      </w:r>
    </w:p>
    <w:p>
      <w:pPr/>
      <w:r>
        <w:rPr>
          <w:lang w:val="hi_IN" w:bidi="hi_IN"/>
        </w:rPr>
      </w:r>
      <w:r>
        <w:rPr>
          <w:lang w:val="hi_IN" w:bidi="hi_IN"/>
        </w:rP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r>
        <w:rPr>
          <w:lang w:val="hi_IN" w:bidi="hi_IN"/>
        </w:rPr>
        <w:t>2:19–30</w:t>
      </w:r>
      <w:r>
        <w:rPr>
          <w:lang w:val="hi_IN" w:bidi="hi_IN"/>
        </w:rPr>
        <w:t>)।</w:t>
      </w:r>
    </w:p>
    <w:p>
      <w:pPr/>
      <w:r>
        <w:rPr>
          <w:lang w:val="hi_IN" w:bidi="hi_IN"/>
        </w:rPr>
      </w:r>
      <w:r>
        <w:rPr>
          <w:lang w:val="hi_IN" w:bidi="hi_IN"/>
        </w:rPr>
        <w:t>पौलुस आगे फिलिप्पियों को यहूदी-मसीही प्रचार से सावधान करते हैं, जिसमें मूसा की व्यवस्था के पालन की आवश्यकता बताई जा रही थी (</w:t>
      </w:r>
      <w:r>
        <w:rPr>
          <w:lang w:val="hi_IN" w:bidi="hi_IN"/>
        </w:rPr>
        <w:t>3:1–3</w:t>
      </w:r>
      <w:r>
        <w:rPr>
          <w:lang w:val="hi_IN" w:bidi="hi_IN"/>
        </w:rP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r>
        <w:rPr>
          <w:lang w:val="hi_IN" w:bidi="hi_IN"/>
        </w:rPr>
        <w:t>3:4–11</w:t>
      </w:r>
      <w:r>
        <w:rPr>
          <w:lang w:val="hi_IN" w:bidi="hi_IN"/>
        </w:rPr>
        <w:t>)। सभी विश्वासियों को मसीह में पूर्ण जीवन का अनुसरण करने में एक विचार रखना चाहिए (</w:t>
      </w:r>
      <w:r>
        <w:rPr>
          <w:lang w:val="hi_IN" w:bidi="hi_IN"/>
        </w:rPr>
        <w:t>3:12–4:1</w:t>
      </w:r>
      <w:r>
        <w:rPr>
          <w:lang w:val="hi_IN" w:bidi="hi_IN"/>
        </w:rPr>
        <w:t>)।</w:t>
      </w:r>
    </w:p>
    <w:p>
      <w:pPr/>
      <w:r>
        <w:rPr>
          <w:lang w:val="hi_IN" w:bidi="hi_IN"/>
        </w:rPr>
      </w:r>
      <w:r>
        <w:rPr>
          <w:lang w:val="hi_IN" w:bidi="hi_IN"/>
        </w:rP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r>
        <w:rPr>
          <w:lang w:val="hi_IN" w:bidi="hi_IN"/>
        </w:rPr>
        <w:t>4:2–9</w:t>
      </w:r>
      <w:r>
        <w:rPr>
          <w:lang w:val="hi_IN" w:bidi="hi_IN"/>
        </w:rP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r>
        <w:rPr>
          <w:lang w:val="hi_IN" w:bidi="hi_IN"/>
        </w:rPr>
        <w:t>4:1–20</w:t>
      </w:r>
      <w:r>
        <w:rPr>
          <w:lang w:val="hi_IN" w:bidi="hi_IN"/>
        </w:rPr>
        <w:t>)। हमेशा की तरह, पौलुस अपने पत्र का समापन परमेश्वर की स्तुति, विश्वासियों को अभिवादन, और प्रभु के अनुग्रह की प्रार्थना के साथ करते हैं (</w:t>
      </w:r>
      <w:r>
        <w:rPr>
          <w:lang w:val="hi_IN" w:bidi="hi_IN"/>
        </w:rPr>
        <w:t>4:21–23</w:t>
      </w:r>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r>
        <w:rPr>
          <w:lang w:val="hi_IN" w:bidi="hi_IN"/>
        </w:rPr>
        <w:t>प्रेरि 19:23–41</w:t>
      </w:r>
      <w:r>
        <w:rPr>
          <w:lang w:val="hi_IN" w:bidi="hi_IN"/>
        </w:rPr>
        <w:t xml:space="preserve">; </w:t>
      </w:r>
      <w:r>
        <w:rPr>
          <w:lang w:val="hi_IN" w:bidi="hi_IN"/>
        </w:rPr>
        <w:t>2 कुरि 11:23–28</w:t>
      </w:r>
      <w:r>
        <w:rPr>
          <w:lang w:val="hi_IN" w:bidi="hi_IN"/>
        </w:rPr>
        <w:t>)।</w:t>
      </w:r>
    </w:p>
    <w:p>
      <w:pPr>
        <w:pStyle w:val="Heading2"/>
      </w:pPr>
      <w:r>
        <w:rPr>
          <w:lang w:val="hi_IN" w:bidi="hi_IN"/>
        </w:rPr>
        <w:t>साहित्यिक एकता</w:t>
      </w:r>
    </w:p>
    <w:p>
      <w:pPr/>
      <w:r>
        <w:rPr>
          <w:lang w:val="hi_IN" w:bidi="hi_IN"/>
        </w:rPr>
      </w:r>
      <w:r>
        <w:rPr>
          <w:lang w:val="hi_IN" w:bidi="hi_IN"/>
        </w:rPr>
        <w:t xml:space="preserve">लेखन में विषयवस्तु और भाव में अचानक परिवर्तन को ध्यान में रखते हुए (विशेष रूप से </w:t>
      </w:r>
      <w:r>
        <w:rPr>
          <w:lang w:val="hi_IN" w:bidi="hi_IN"/>
        </w:rPr>
        <w:t>3:2–4:3</w:t>
      </w:r>
      <w:r>
        <w:rPr>
          <w:lang w:val="hi_IN" w:bidi="hi_IN"/>
        </w:rPr>
        <w:t xml:space="preserve"> और </w:t>
      </w:r>
      <w:r>
        <w:rPr>
          <w:lang w:val="hi_IN" w:bidi="hi_IN"/>
        </w:rPr>
        <w:t>4:10–20</w:t>
      </w:r>
      <w:r>
        <w:rPr>
          <w:lang w:val="hi_IN" w:bidi="hi_IN"/>
        </w:rP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2"/>
      </w:pPr>
      <w:r>
        <w:rPr>
          <w:lang w:val="hi_IN" w:bidi="hi_IN"/>
        </w:rPr>
        <w:t xml:space="preserve">अर्थ और सन्देश </w:t>
      </w:r>
    </w:p>
    <w:p>
      <w:pPr/>
      <w:r>
        <w:rPr>
          <w:lang w:val="hi_IN" w:bidi="hi_IN"/>
        </w:rPr>
      </w:r>
      <w:r>
        <w:rPr>
          <w:lang w:val="hi_IN" w:bidi="hi_IN"/>
        </w:rP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pPr/>
      <w:r>
        <w:rPr>
          <w:lang w:val="hi_IN" w:bidi="hi_IN"/>
        </w:rPr>
      </w:r>
      <w:r>
        <w:rPr>
          <w:lang w:val="hi_IN" w:bidi="hi_IN"/>
        </w:rP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r>
        <w:rPr>
          <w:lang w:val="hi_IN" w:bidi="hi_IN"/>
        </w:rPr>
        <w:t>1:12–26</w:t>
      </w:r>
      <w:r>
        <w:rPr>
          <w:lang w:val="hi_IN" w:bidi="hi_IN"/>
        </w:rP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r>
        <w:rPr>
          <w:lang w:val="hi_IN" w:bidi="hi_IN"/>
        </w:rPr>
        <w:t>3:7–14</w:t>
      </w:r>
      <w:r>
        <w:rPr>
          <w:lang w:val="hi_IN" w:bidi="hi_IN"/>
        </w:rP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r>
        <w:rPr>
          <w:lang w:val="hi_IN" w:bidi="hi_IN"/>
        </w:rPr>
        <w:t>4:11–13</w:t>
      </w:r>
      <w:r>
        <w:rPr>
          <w:lang w:val="hi_IN" w:bidi="hi_IN"/>
        </w:rPr>
        <w:t>)।</w:t>
      </w:r>
    </w:p>
    <w:p>
      <w:pPr/>
      <w:r>
        <w:rPr>
          <w:lang w:val="hi_IN" w:bidi="hi_IN"/>
        </w:rPr>
      </w:r>
      <w:r>
        <w:rPr>
          <w:lang w:val="hi_IN" w:bidi="hi_IN"/>
        </w:rP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r>
        <w:rPr>
          <w:lang w:val="hi_IN" w:bidi="hi_IN"/>
        </w:rPr>
        <w:t>4:4–9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