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2"/>
      </w:pPr>
      <w:r>
        <w:rPr>
          <w:lang w:val="hi_IN" w:bidi="hi_IN"/>
        </w:rPr>
        <w:t>घटनास्थल</w:t>
      </w:r>
    </w:p>
    <w:p>
      <w:pPr/>
      <w:r>
        <w:rPr>
          <w:lang w:val="hi_IN" w:bidi="hi_IN"/>
        </w:rPr>
      </w:r>
      <w:r>
        <w:rPr>
          <w:lang w:val="hi_IN" w:bidi="hi_IN"/>
        </w:rPr>
        <w:t>मसीही कलीसिया के जन्म के समय पिन्तेकुस्त के दौरान क्रेते का एक समूह यरूशलेम में था। (</w:t>
      </w:r>
      <w:r>
        <w:rPr>
          <w:lang w:val="hi_IN" w:bidi="hi_IN"/>
        </w:rPr>
        <w:t>प्रेरितों के काम 2:11</w:t>
      </w:r>
      <w:r>
        <w:rPr>
          <w:lang w:val="hi_IN" w:bidi="hi_IN"/>
        </w:rP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r>
        <w:rPr>
          <w:lang w:val="hi_IN" w:bidi="hi_IN"/>
        </w:rPr>
        <w:t>तीतुस 1:5</w:t>
      </w:r>
      <w:r>
        <w:rPr>
          <w:lang w:val="hi_IN" w:bidi="hi_IN"/>
        </w:rPr>
        <w:t>)। नए नियम में क्रेते का एकमात्र अन्य उल्लेख पौलुस को एक बंदी के रूप में रोम ले जाए जाने के समय आता है (</w:t>
      </w:r>
      <w:r>
        <w:rPr>
          <w:lang w:val="hi_IN" w:bidi="hi_IN"/>
        </w:rPr>
        <w:t>प्रेरितों के काम 27:7–21</w:t>
      </w:r>
      <w:r>
        <w:rPr>
          <w:lang w:val="hi_IN" w:bidi="hi_IN"/>
        </w:rPr>
        <w:t xml:space="preserve">)। उस समय पौलुस को क्रेते में सक्रिय सेवकाई करने का अवसर नहीं मिला था। अधिक संभावना है कि, क्रेते में पौलुस का कार्य </w:t>
      </w:r>
      <w:r>
        <w:rPr>
          <w:lang w:val="hi_IN" w:bidi="hi_IN"/>
        </w:rPr>
        <w:t>प्रेरितों के काम 28:1–31</w:t>
      </w:r>
      <w:r>
        <w:rPr>
          <w:lang w:val="hi_IN" w:bidi="hi_IN"/>
        </w:rPr>
        <w:t xml:space="preserve"> की घटनाओं के बाद (60–62ई. सन्. ) और उसके अंतिम रोमी कारावास (संभवतः लगभग 64~65 ई. सन्. ) से पहले आरंभ हुआ।</w:t>
      </w:r>
    </w:p>
    <w:p>
      <w:pPr/>
      <w:r>
        <w:rPr>
          <w:lang w:val="hi_IN" w:bidi="hi_IN"/>
        </w:rPr>
      </w:r>
      <w:r>
        <w:rPr>
          <w:lang w:val="hi_IN" w:bidi="hi_IN"/>
        </w:rP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r>
        <w:rPr>
          <w:lang w:val="hi_IN" w:bidi="hi_IN"/>
        </w:rPr>
        <w:t>प्रेरितों के काम 14:23</w:t>
      </w:r>
      <w:r>
        <w:rPr>
          <w:lang w:val="hi_IN" w:bidi="hi_IN"/>
        </w:rP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r>
        <w:rPr>
          <w:lang w:val="hi_IN" w:bidi="hi_IN"/>
        </w:rPr>
        <w:t>तीतुस 3:12</w:t>
      </w:r>
      <w:r>
        <w:rPr>
          <w:lang w:val="hi_IN" w:bidi="hi_IN"/>
        </w:rPr>
        <w:t xml:space="preserve">)। पौलुस की निकुपुलिस में शीत ऋतु काटने की योजना से यह पता चलता है कि उसने बसंत ऋतु आने पर वहाँ से पश्चिम की ओर जल यात्रा करने की योजना बनाई थी (देखें </w:t>
      </w:r>
      <w:r>
        <w:rPr>
          <w:lang w:val="hi_IN" w:bidi="hi_IN"/>
        </w:rPr>
        <w:t>2 तीमु 4:21</w:t>
      </w:r>
      <w:r>
        <w:rPr>
          <w:lang w:val="hi_IN" w:bidi="hi_IN"/>
        </w:rPr>
        <w:t xml:space="preserve">), संभवतः इतालिया और शायद इसपानिया जाते हुए (देखें </w:t>
      </w:r>
      <w:r>
        <w:rPr>
          <w:lang w:val="hi_IN" w:bidi="hi_IN"/>
        </w:rPr>
        <w:t>रोमि 15:24</w:t>
      </w:r>
      <w:r>
        <w:rPr>
          <w:lang w:val="hi_IN" w:bidi="hi_IN"/>
        </w:rPr>
        <w:t xml:space="preserve">, </w:t>
      </w:r>
      <w:r>
        <w:rPr>
          <w:lang w:val="hi_IN" w:bidi="hi_IN"/>
        </w:rPr>
        <w:t>28</w:t>
      </w:r>
      <w:r>
        <w:rPr>
          <w:lang w:val="hi_IN" w:bidi="hi_IN"/>
        </w:rPr>
        <w:t>)।</w:t>
      </w:r>
    </w:p>
    <w:p>
      <w:pPr/>
      <w:r>
        <w:rPr>
          <w:lang w:val="hi_IN" w:bidi="hi_IN"/>
        </w:rPr>
      </w:r>
      <w:r>
        <w:rPr>
          <w:lang w:val="hi_IN" w:bidi="hi_IN"/>
        </w:rP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2"/>
      </w:pPr>
      <w:r>
        <w:rPr>
          <w:lang w:val="hi_IN" w:bidi="hi_IN"/>
        </w:rPr>
        <w:t>सार</w:t>
      </w:r>
    </w:p>
    <w:p>
      <w:pPr/>
      <w:r>
        <w:rPr>
          <w:lang w:val="hi_IN" w:bidi="hi_IN"/>
        </w:rPr>
      </w:r>
      <w:r>
        <w:rPr>
          <w:lang w:val="hi_IN" w:bidi="hi_IN"/>
        </w:rPr>
        <w:t>तीतुस को लिखी गई पत्री पूर्ण रूप से कार्य-संबंधी है, जो तीतुस के स्वयं पालन करने के लिए दिशा निर्धारित करती है। पत्री के मुख्य भाग के प्रत्येक खंड (</w:t>
      </w:r>
      <w:r>
        <w:rPr>
          <w:lang w:val="hi_IN" w:bidi="hi_IN"/>
        </w:rPr>
        <w:t>1:5–3:11</w:t>
      </w:r>
      <w:r>
        <w:rPr>
          <w:lang w:val="hi_IN" w:bidi="hi_IN"/>
        </w:rPr>
        <w:t>) की रचना आदेश, तर्क और प्रभार की पद्धति में की गई है। पौलुस लगातार इस पद्धति को दोहराता है—चाहे वह अगुवों की नियुक्ति को (</w:t>
      </w:r>
      <w:r>
        <w:rPr>
          <w:lang w:val="hi_IN" w:bidi="hi_IN"/>
        </w:rPr>
        <w:t>1:5–16</w:t>
      </w:r>
      <w:r>
        <w:rPr>
          <w:lang w:val="hi_IN" w:bidi="hi_IN"/>
        </w:rPr>
        <w:t>), विश्वासी घराने के सदस्यों में उचित आचरण को (</w:t>
      </w:r>
      <w:r>
        <w:rPr>
          <w:lang w:val="hi_IN" w:bidi="hi_IN"/>
        </w:rPr>
        <w:t>2:1–15</w:t>
      </w:r>
      <w:r>
        <w:rPr>
          <w:lang w:val="hi_IN" w:bidi="hi_IN"/>
        </w:rPr>
        <w:t>), या व्यापक रीति से समाज में उचित आचरण को (</w:t>
      </w:r>
      <w:r>
        <w:rPr>
          <w:lang w:val="hi_IN" w:bidi="hi_IN"/>
        </w:rPr>
        <w:t>3:1–11</w:t>
      </w:r>
      <w:r>
        <w:rPr>
          <w:lang w:val="hi_IN" w:bidi="hi_IN"/>
        </w:rP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2"/>
      </w:pPr>
      <w:r>
        <w:rPr>
          <w:lang w:val="hi_IN" w:bidi="hi_IN"/>
        </w:rPr>
        <w:t>लेखन तिथि</w:t>
      </w:r>
    </w:p>
    <w:p>
      <w:pPr/>
      <w:r>
        <w:rPr>
          <w:lang w:val="hi_IN" w:bidi="hi_IN"/>
        </w:rPr>
      </w:r>
      <w:r>
        <w:rPr>
          <w:lang w:val="hi_IN" w:bidi="hi_IN"/>
        </w:rPr>
        <w:t xml:space="preserve">तीतुस लगभग 1 तीमुथियुस के समय के आसपास लिखा गया। यह संभव है कि पौलुस ने ये पत्रियाँ और 2 तीमुथियुस को </w:t>
      </w:r>
      <w:r>
        <w:rPr>
          <w:lang w:val="hi_IN" w:bidi="hi_IN"/>
        </w:rPr>
        <w:t>प्रेरितों के काम 21</w:t>
      </w:r>
      <w:r>
        <w:rPr>
          <w:lang w:val="hi_IN" w:bidi="hi_IN"/>
        </w:rPr>
        <w:t xml:space="preserve">में अपने बंदी बनाए जाने से पूर्व के समयकाल में लिखा था, किन्तु </w:t>
      </w:r>
      <w:r>
        <w:rPr>
          <w:lang w:val="hi_IN" w:bidi="hi_IN"/>
        </w:rPr>
        <w:t>प्रेरितों के काम 28</w:t>
      </w:r>
      <w:r>
        <w:rPr>
          <w:lang w:val="hi_IN" w:bidi="hi_IN"/>
        </w:rPr>
        <w:t xml:space="preserve"> के कारावास के कुछ समय बाद की तिथि की अधिक संभावना है (देखें </w:t>
      </w:r>
      <w:r>
        <w:rPr>
          <w:lang w:val="hi_IN" w:bidi="hi_IN"/>
        </w:rPr>
        <w:t>1 तीमुथियुस की पुस्तक का परिचय</w:t>
      </w:r>
      <w:r>
        <w:rPr>
          <w:lang w:val="hi_IN" w:bidi="hi_IN"/>
        </w:rPr>
        <w:t>, “लेखन तिथि”)।</w:t>
      </w:r>
    </w:p>
    <w:p>
      <w:pPr>
        <w:pStyle w:val="Heading2"/>
      </w:pPr>
      <w:r>
        <w:rPr>
          <w:lang w:val="hi_IN" w:bidi="hi_IN"/>
        </w:rPr>
        <w:t>क्रेते पर स्थिति</w:t>
      </w:r>
    </w:p>
    <w:p>
      <w:pPr/>
      <w:r>
        <w:rPr>
          <w:lang w:val="hi_IN" w:bidi="hi_IN"/>
        </w:rPr>
      </w:r>
      <w:r>
        <w:rPr>
          <w:lang w:val="hi_IN" w:bidi="hi_IN"/>
        </w:rP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rPr>
          <w:lang w:val="hi_IN" w:bidi="hi_IN"/>
        </w:rPr>
        <w:t>1:12</w:t>
      </w:r>
      <w:r>
        <w:rPr>
          <w:lang w:val="hi_IN" w:bidi="hi_IN"/>
        </w:rP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r>
        <w:rPr>
          <w:lang w:val="hi_IN" w:bidi="hi_IN"/>
        </w:rPr>
        <w:t>2:13</w:t>
      </w:r>
      <w:r>
        <w:rPr>
          <w:lang w:val="hi_IN" w:bidi="hi_IN"/>
        </w:rPr>
        <w:t>)—और केवल दयालुता के द्वारा मुक्ति प्रदान करता है (</w:t>
      </w:r>
      <w:r>
        <w:rPr>
          <w:lang w:val="hi_IN" w:bidi="hi_IN"/>
        </w:rPr>
        <w:t>3:5</w:t>
      </w:r>
      <w:r>
        <w:rPr>
          <w:lang w:val="hi_IN" w:bidi="hi_IN"/>
        </w:rPr>
        <w:t>)।</w:t>
      </w:r>
    </w:p>
    <w:p>
      <w:pPr>
        <w:pStyle w:val="Heading2"/>
      </w:pPr>
      <w:r>
        <w:rPr>
          <w:lang w:val="hi_IN" w:bidi="hi_IN"/>
        </w:rPr>
        <w:t>1 और 2 तीमुथियुस के साथ तुलना</w:t>
      </w:r>
    </w:p>
    <w:p>
      <w:pPr/>
      <w:r>
        <w:rPr>
          <w:lang w:val="hi_IN" w:bidi="hi_IN"/>
        </w:rPr>
      </w:r>
      <w:r>
        <w:rPr>
          <w:lang w:val="hi_IN" w:bidi="hi_IN"/>
        </w:rP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r>
        <w:rPr>
          <w:lang w:val="hi_IN" w:bidi="hi_IN"/>
        </w:rPr>
        <w:t>तीतुस 1:10–16</w:t>
      </w:r>
      <w:r>
        <w:rPr>
          <w:lang w:val="hi_IN" w:bidi="hi_IN"/>
        </w:rPr>
        <w:t xml:space="preserve">) यह पता चलता है कि दोनों ही स्थान बिल्कुल समान शिक्षाओं का सामना कर रहे थे (देखें </w:t>
      </w:r>
      <w:r>
        <w:rPr>
          <w:lang w:val="hi_IN" w:bidi="hi_IN"/>
        </w:rPr>
        <w:t>1 तीमु 1:4–7</w:t>
      </w:r>
      <w:r>
        <w:rPr>
          <w:lang w:val="hi_IN" w:bidi="hi_IN"/>
        </w:rPr>
        <w:t xml:space="preserve">; </w:t>
      </w:r>
      <w:r>
        <w:rPr>
          <w:lang w:val="hi_IN" w:bidi="hi_IN"/>
        </w:rPr>
        <w:t>4:1–4</w:t>
      </w:r>
      <w:r>
        <w:rPr>
          <w:lang w:val="hi_IN" w:bidi="hi_IN"/>
        </w:rPr>
        <w:t xml:space="preserve">; </w:t>
      </w:r>
      <w:r>
        <w:rPr>
          <w:lang w:val="hi_IN" w:bidi="hi_IN"/>
        </w:rPr>
        <w:t>2 तीमु 3:1–7</w:t>
      </w:r>
      <w:r>
        <w:rPr>
          <w:lang w:val="hi_IN" w:bidi="hi_IN"/>
        </w:rPr>
        <w:t xml:space="preserve">; </w:t>
      </w:r>
      <w:r>
        <w:rPr>
          <w:lang w:val="hi_IN" w:bidi="hi_IN"/>
        </w:rPr>
        <w:t>4:3–4</w:t>
      </w:r>
      <w:r>
        <w:rPr>
          <w:lang w:val="hi_IN" w:bidi="hi_IN"/>
        </w:rPr>
        <w:t>)।</w:t>
      </w:r>
    </w:p>
    <w:p>
      <w:pPr/>
      <w:r>
        <w:rPr>
          <w:lang w:val="hi_IN" w:bidi="hi_IN"/>
        </w:rPr>
      </w:r>
      <w:r>
        <w:rPr>
          <w:lang w:val="hi_IN" w:bidi="hi_IN"/>
        </w:rP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r>
        <w:rPr>
          <w:lang w:val="hi_IN" w:bidi="hi_IN"/>
        </w:rPr>
        <w:t>1 तीमु 5:3–16</w:t>
      </w:r>
      <w:r>
        <w:rPr>
          <w:lang w:val="hi_IN" w:bidi="hi_IN"/>
        </w:rPr>
        <w:t>) और सेवकों (</w:t>
      </w:r>
      <w:r>
        <w:rPr>
          <w:lang w:val="hi_IN" w:bidi="hi_IN"/>
        </w:rPr>
        <w:t>1 तीमु 3:8–13</w:t>
      </w:r>
      <w:r>
        <w:rPr>
          <w:lang w:val="hi_IN" w:bidi="hi_IN"/>
        </w:rPr>
        <w:t xml:space="preserve">) की अनुपस्थिति को समझा सकता है। अशान्ति फैलाने वालों में मतभेद स्त्रियों के उपदेशक ना होने के विषय पर चुप्पी का कारण हो सकता है (देखें </w:t>
      </w:r>
      <w:r>
        <w:rPr>
          <w:lang w:val="hi_IN" w:bidi="hi_IN"/>
        </w:rPr>
        <w:t>1 तीमु 2:11–15</w:t>
      </w:r>
      <w:r>
        <w:rPr>
          <w:lang w:val="hi_IN" w:bidi="hi_IN"/>
        </w:rPr>
        <w:t>)। अगुवों के लिए मापदंड (</w:t>
      </w:r>
      <w:r>
        <w:rPr>
          <w:lang w:val="hi_IN" w:bidi="hi_IN"/>
        </w:rPr>
        <w:t>तीतुस 1:6–9</w:t>
      </w:r>
      <w:r>
        <w:rPr>
          <w:lang w:val="hi_IN" w:bidi="hi_IN"/>
        </w:rPr>
        <w:t xml:space="preserve">), तथा समुदाय के सदस्यों के लिए आचरण के मापदंड (देखें </w:t>
      </w:r>
      <w:r>
        <w:rPr>
          <w:lang w:val="hi_IN" w:bidi="hi_IN"/>
        </w:rPr>
        <w:t>2:1–10</w:t>
      </w:r>
      <w:r>
        <w:rPr>
          <w:lang w:val="hi_IN" w:bidi="hi_IN"/>
        </w:rP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r>
        <w:rPr>
          <w:lang w:val="hi_IN" w:bidi="hi_IN"/>
        </w:rPr>
        <w:t>1 तीमु 1:18</w:t>
      </w:r>
      <w:r>
        <w:rPr>
          <w:lang w:val="hi_IN" w:bidi="hi_IN"/>
        </w:rPr>
        <w:t xml:space="preserve">; </w:t>
      </w:r>
      <w:r>
        <w:rPr>
          <w:lang w:val="hi_IN" w:bidi="hi_IN"/>
        </w:rPr>
        <w:t>6:20</w:t>
      </w:r>
      <w:r>
        <w:rPr>
          <w:lang w:val="hi_IN" w:bidi="hi_IN"/>
        </w:rPr>
        <w:t xml:space="preserve">; </w:t>
      </w:r>
      <w:r>
        <w:rPr>
          <w:lang w:val="hi_IN" w:bidi="hi_IN"/>
        </w:rPr>
        <w:t>2 तीमु 1:12–14</w:t>
      </w:r>
      <w:r>
        <w:rPr>
          <w:lang w:val="hi_IN" w:bidi="hi_IN"/>
        </w:rPr>
        <w:t xml:space="preserve">; </w:t>
      </w:r>
      <w:r>
        <w:rPr>
          <w:lang w:val="hi_IN" w:bidi="hi_IN"/>
        </w:rPr>
        <w:t>2:2</w:t>
      </w:r>
      <w:r>
        <w:rPr>
          <w:lang w:val="hi_IN" w:bidi="hi_IN"/>
        </w:rPr>
        <w:t>), वह तीतुस में अनुपस्थित है।</w:t>
      </w:r>
    </w:p>
    <w:p>
      <w:pPr>
        <w:pStyle w:val="Heading2"/>
      </w:pPr>
      <w:r>
        <w:rPr>
          <w:lang w:val="hi_IN" w:bidi="hi_IN"/>
        </w:rPr>
        <w:t>अर्थ तथा संदेश</w:t>
      </w:r>
    </w:p>
    <w:p>
      <w:pPr/>
      <w:r>
        <w:rPr>
          <w:lang w:val="hi_IN" w:bidi="hi_IN"/>
        </w:rPr>
      </w:r>
      <w:r>
        <w:rPr>
          <w:lang w:val="hi_IN" w:bidi="hi_IN"/>
        </w:rP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r>
        <w:rPr>
          <w:lang w:val="hi_IN" w:bidi="hi_IN"/>
        </w:rPr>
        <w:t>2:10–11</w:t>
      </w:r>
      <w:r>
        <w:rPr>
          <w:lang w:val="hi_IN" w:bidi="hi_IN"/>
        </w:rPr>
        <w:t xml:space="preserve">; </w:t>
      </w:r>
      <w:r>
        <w:rPr>
          <w:lang w:val="hi_IN" w:bidi="hi_IN"/>
        </w:rPr>
        <w:t>3:2–3</w:t>
      </w:r>
      <w:r>
        <w:rPr>
          <w:lang w:val="hi_IN" w:bidi="hi_IN"/>
        </w:rPr>
        <w:t xml:space="preserve">, </w:t>
      </w:r>
      <w:r>
        <w:rPr>
          <w:lang w:val="hi_IN" w:bidi="hi_IN"/>
        </w:rPr>
        <w:t>8</w:t>
      </w:r>
      <w:r>
        <w:rPr>
          <w:lang w:val="hi_IN" w:bidi="hi_IN"/>
        </w:rPr>
        <w:t xml:space="preserve">; देखें </w:t>
      </w:r>
      <w:r>
        <w:rPr>
          <w:lang w:val="hi_IN" w:bidi="hi_IN"/>
        </w:rPr>
        <w:t>मत्ती 5:14–16</w:t>
      </w:r>
      <w:r>
        <w:rPr>
          <w:lang w:val="hi_IN" w:bidi="hi_IN"/>
        </w:rPr>
        <w:t>)।</w:t>
      </w:r>
    </w:p>
    <w:p>
      <w:pPr/>
      <w:r>
        <w:rPr>
          <w:lang w:val="hi_IN" w:bidi="hi_IN"/>
        </w:rPr>
      </w:r>
      <w:r>
        <w:rPr>
          <w:lang w:val="hi_IN" w:bidi="hi_IN"/>
        </w:rP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r>
        <w:rPr>
          <w:lang w:val="hi_IN" w:bidi="hi_IN"/>
        </w:rPr>
        <w:t>तीतुस 2:1–15</w:t>
      </w:r>
      <w:r>
        <w:rPr>
          <w:lang w:val="hi_IN" w:bidi="hi_IN"/>
        </w:rP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r>
        <w:rPr>
          <w:lang w:val="hi_IN" w:bidi="hi_IN"/>
        </w:rPr>
        <w:t>3:1–11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