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r>
        <w:rPr>
          <w:lang w:val="id_ID" w:bidi="id_ID"/>
        </w:rPr>
        <w:t>Keluaran pasal 1–15</w:t>
      </w:r>
      <w:r>
        <w:rPr>
          <w:lang w:val="id_ID" w:bidi="id_ID"/>
        </w:rPr>
        <w:t xml:space="preserve"> menceritakan tentang “keluarnya” bangsa Ibrani dari Mesir. Teks sisa dari Keluaran (psl. </w:t>
      </w:r>
      <w:r>
        <w:rPr>
          <w:lang w:val="id_ID" w:bidi="id_ID"/>
        </w:rPr>
        <w:t>16–40</w:t>
      </w:r>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r>
        <w:rPr>
          <w:lang w:val="id_ID" w:bidi="id_ID"/>
        </w:rPr>
        <w:t>1–15</w:t>
      </w:r>
      <w:r>
        <w:rPr>
          <w:lang w:val="id_ID" w:bidi="id_ID"/>
        </w:rPr>
        <w:t>), untuk mengenal siapa Allah itu dan bagaimana sifat-Nya melalui perjanjian di Sinai (psl. 1</w:t>
      </w:r>
      <w:r>
        <w:rPr>
          <w:lang w:val="id_ID" w:bidi="id_ID"/>
        </w:rPr>
        <w:t>6–24</w:t>
      </w:r>
      <w:r>
        <w:rPr>
          <w:lang w:val="id_ID" w:bidi="id_ID"/>
        </w:rPr>
        <w:t xml:space="preserve">), dan untuk mengalami persekutuan dengan Allah melalui Kemah Suci (psl. </w:t>
      </w:r>
      <w:r>
        <w:rPr>
          <w:lang w:val="id_ID" w:bidi="id_ID"/>
        </w:rPr>
        <w:t>25–40</w:t>
      </w:r>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r>
        <w:rPr>
          <w:lang w:val="id_ID" w:bidi="id_ID"/>
        </w:rPr>
        <w:t>Kejadian—Ulangan</w:t>
      </w:r>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r>
        <w:rPr>
          <w:lang w:val="id_ID" w:bidi="id_ID"/>
        </w:rPr>
        <w:t>1 Raja-raja 14:25–26</w:t>
      </w:r>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r>
        <w:rPr>
          <w:lang w:val="id_ID" w:bidi="id_ID"/>
        </w:rPr>
        <w:t>Kel.1:8</w:t>
      </w:r>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r>
        <w:rPr>
          <w:lang w:val="id_ID" w:bidi="id_ID"/>
        </w:rPr>
        <w:t>Kej. 39</w:t>
      </w:r>
      <w:r>
        <w:rPr>
          <w:lang w:val="id_ID" w:bidi="id_ID"/>
        </w:rPr>
        <w:t xml:space="preserve">; </w:t>
      </w:r>
      <w:r>
        <w:rPr>
          <w:lang w:val="id_ID" w:bidi="id_ID"/>
        </w:rPr>
        <w:t>46</w:t>
      </w:r>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r>
        <w:rPr>
          <w:lang w:val="id_ID" w:bidi="id_ID"/>
        </w:rPr>
        <w:t>Keluaran 1:8</w:t>
      </w:r>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r>
        <w:rPr>
          <w:lang w:val="id_ID" w:bidi="id_ID"/>
        </w:rPr>
        <w:t>1 Raja-raja 6:1</w:t>
      </w:r>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r>
        <w:rPr>
          <w:lang w:val="id_ID" w:bidi="id_ID"/>
        </w:rPr>
        <w:t>Hak. 11:26</w:t>
      </w:r>
      <w:r>
        <w:rPr>
          <w:lang w:val="id_ID" w:bidi="id_ID"/>
        </w:rPr>
        <w:t xml:space="preserve">; bdk. </w:t>
      </w:r>
      <w:r>
        <w:rPr>
          <w:lang w:val="id_ID" w:bidi="id_ID"/>
        </w:rPr>
        <w:t>Bil. 21:21–35</w:t>
      </w:r>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r>
        <w:rPr>
          <w:lang w:val="id_ID" w:bidi="id_ID"/>
        </w:rPr>
        <w:t>Kel. 1:11</w:t>
      </w:r>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r>
        <w:rPr>
          <w:lang w:val="id_ID" w:bidi="id_ID"/>
        </w:rPr>
        <w:t>1 Raja-Raja 6:1</w:t>
      </w:r>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r>
        <w:rPr>
          <w:lang w:val="id_ID" w:bidi="id_ID"/>
        </w:rPr>
        <w:t>2:4</w:t>
      </w:r>
      <w:r>
        <w:rPr>
          <w:lang w:val="id_ID" w:bidi="id_ID"/>
        </w:rPr>
        <w:t xml:space="preserve">; </w:t>
      </w:r>
      <w:r>
        <w:rPr>
          <w:lang w:val="id_ID" w:bidi="id_ID"/>
        </w:rPr>
        <w:t>21:5</w:t>
      </w:r>
      <w:r>
        <w:rPr>
          <w:lang w:val="id_ID" w:bidi="id_ID"/>
        </w:rPr>
        <w:t xml:space="preserve">; </w:t>
      </w:r>
      <w:r>
        <w:rPr>
          <w:lang w:val="id_ID" w:bidi="id_ID"/>
        </w:rPr>
        <w:t>25:26</w:t>
      </w:r>
      <w:r>
        <w:rPr>
          <w:lang w:val="id_ID" w:bidi="id_ID"/>
        </w:rPr>
        <w:t xml:space="preserve">; </w:t>
      </w:r>
      <w:r>
        <w:rPr>
          <w:lang w:val="id_ID" w:bidi="id_ID"/>
        </w:rPr>
        <w:t>47:9</w:t>
      </w:r>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r>
        <w:rPr>
          <w:lang w:val="id_ID" w:bidi="id_ID"/>
        </w:rPr>
        <w:t>Kel. 12:40</w:t>
      </w:r>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r>
        <w:rPr>
          <w:lang w:val="id_ID" w:bidi="id_ID"/>
        </w:rPr>
        <w:t>Keluaran 12:40</w:t>
      </w:r>
      <w:r>
        <w:rPr>
          <w:lang w:val="id_ID" w:bidi="id_ID"/>
        </w:rPr>
        <w:t xml:space="preserve"> mencakup waktu yang dihabiskan bangsa Israel di Kanaan dan Mesir (kronologi yang tampaknya diikuti oleh Paulus; lihat </w:t>
      </w:r>
      <w:r>
        <w:rPr>
          <w:lang w:val="id_ID" w:bidi="id_ID"/>
        </w:rPr>
        <w:t>Gal.3:17</w:t>
      </w:r>
      <w:r>
        <w:rPr>
          <w:lang w:val="id_ID" w:bidi="id_ID"/>
        </w:rPr>
        <w:t>). Urutan waktu ini akan mempersingkat periode di Mesir menjadi 215 tahun. Beberapa pernyataan Alkitab yang menyatakan bahwa Israel berada di Mesir selama 400 tahun atau selama empat generasi (</w:t>
      </w:r>
      <w:r>
        <w:rPr>
          <w:lang w:val="id_ID" w:bidi="id_ID"/>
        </w:rPr>
        <w:t>Kej. 15:13–16</w:t>
      </w:r>
      <w:r>
        <w:rPr>
          <w:lang w:val="id_ID" w:bidi="id_ID"/>
        </w:rPr>
        <w:t xml:space="preserve">; bandingkan </w:t>
      </w:r>
      <w:r>
        <w:rPr>
          <w:lang w:val="id_ID" w:bidi="id_ID"/>
        </w:rPr>
        <w:t>Kel. 6:16–20</w:t>
      </w:r>
      <w:r>
        <w:rPr>
          <w:lang w:val="id_ID" w:bidi="id_ID"/>
        </w:rPr>
        <w:t xml:space="preserve">; </w:t>
      </w:r>
      <w:r>
        <w:rPr>
          <w:lang w:val="id_ID" w:bidi="id_ID"/>
        </w:rPr>
        <w:t>Bil. 3:17–19</w:t>
      </w:r>
      <w:r>
        <w:rPr>
          <w:lang w:val="id_ID" w:bidi="id_ID"/>
        </w:rPr>
        <w:t xml:space="preserve">; </w:t>
      </w:r>
      <w:r>
        <w:rPr>
          <w:lang w:val="id_ID" w:bidi="id_ID"/>
        </w:rPr>
        <w:t>26:58–59</w:t>
      </w:r>
      <w:r>
        <w:rPr>
          <w:lang w:val="id_ID" w:bidi="id_ID"/>
        </w:rPr>
        <w:t xml:space="preserve">; </w:t>
      </w:r>
      <w:r>
        <w:rPr>
          <w:lang w:val="id_ID" w:bidi="id_ID"/>
        </w:rPr>
        <w:t>1 Taw. 6:1–3</w:t>
      </w:r>
      <w:r>
        <w:rPr>
          <w:lang w:val="id_ID" w:bidi="id_ID"/>
        </w:rPr>
        <w:t xml:space="preserve">; </w:t>
      </w:r>
      <w:r>
        <w:rPr>
          <w:lang w:val="id_ID" w:bidi="id_ID"/>
        </w:rPr>
        <w:t>Kis. 7:6</w:t>
      </w:r>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r>
        <w:rPr>
          <w:lang w:val="id_ID" w:bidi="id_ID"/>
        </w:rPr>
        <w:t>Kej. 1:27–28</w:t>
      </w:r>
      <w:r>
        <w:rPr>
          <w:lang w:val="id_ID" w:bidi="id_ID"/>
        </w:rPr>
        <w:t>), tetapi dunia jatuh dibawah kutukan. Umat manusia telah menjadi sangat rusak (</w:t>
      </w:r>
      <w:r>
        <w:rPr>
          <w:lang w:val="id_ID" w:bidi="id_ID"/>
        </w:rPr>
        <w:t>Kej. 6:5</w:t>
      </w:r>
      <w:r>
        <w:rPr>
          <w:lang w:val="id_ID" w:bidi="id_ID"/>
        </w:rPr>
        <w:t>), terasing dari Pencipta mereka (</w:t>
      </w:r>
      <w:r>
        <w:rPr>
          <w:lang w:val="id_ID" w:bidi="id_ID"/>
        </w:rPr>
        <w:t>Kej. 3:23–24</w:t>
      </w:r>
      <w:r>
        <w:rPr>
          <w:lang w:val="id_ID" w:bidi="id_ID"/>
        </w:rPr>
        <w:t>) dan dari satu sama lain (</w:t>
      </w:r>
      <w:r>
        <w:rPr>
          <w:lang w:val="id_ID" w:bidi="id_ID"/>
        </w:rPr>
        <w:t>Kej. 4:14</w:t>
      </w:r>
      <w:r>
        <w:rPr>
          <w:lang w:val="id_ID" w:bidi="id_ID"/>
        </w:rPr>
        <w:t xml:space="preserve">). Kematian, kekerasan, dan kekacauan merajalela (Kej. </w:t>
      </w:r>
      <w:r>
        <w:rPr>
          <w:lang w:val="id_ID" w:bidi="id_ID"/>
        </w:rPr>
        <w:t>4:8</w:t>
      </w:r>
      <w:r>
        <w:rPr>
          <w:lang w:val="id_ID" w:bidi="id_ID"/>
        </w:rPr>
        <w:t xml:space="preserve">, </w:t>
      </w:r>
      <w:r>
        <w:rPr>
          <w:lang w:val="id_ID" w:bidi="id_ID"/>
        </w:rPr>
        <w:t>23–24</w:t>
      </w:r>
      <w:r>
        <w:rPr>
          <w:lang w:val="id_ID" w:bidi="id_ID"/>
        </w:rPr>
        <w:t xml:space="preserve">; </w:t>
      </w:r>
      <w:r>
        <w:rPr>
          <w:lang w:val="id_ID" w:bidi="id_ID"/>
        </w:rPr>
        <w:t>11:9</w:t>
      </w:r>
      <w:r>
        <w:rPr>
          <w:lang w:val="id_ID" w:bidi="id_ID"/>
        </w:rPr>
        <w:t>). Adakah cara kembali kepada berkat yang semula Allah maksudkan?</w:t>
      </w:r>
    </w:p>
    <w:p>
      <w:pPr/>
      <w:r>
        <w:rPr>
          <w:lang w:val="id_ID" w:bidi="id_ID"/>
        </w:rPr>
      </w:r>
      <w:r>
        <w:rPr>
          <w:lang w:val="id_ID" w:bidi="id_ID"/>
        </w:rPr>
        <w:t xml:space="preserve">Dalam </w:t>
      </w:r>
      <w:r>
        <w:rPr>
          <w:lang w:val="id_ID" w:bidi="id_ID"/>
        </w:rPr>
        <w:t>Kej. 12–50</w:t>
      </w:r>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r>
        <w:rPr>
          <w:lang w:val="id_ID" w:bidi="id_ID"/>
        </w:rPr>
        <w:t>Kej.12:1–3</w:t>
      </w:r>
      <w:r>
        <w:rPr>
          <w:lang w:val="id_ID" w:bidi="id_ID"/>
        </w:rPr>
        <w:t>). Abraham percaya kepada Allah meskipun istrinya tampaknya tidak akan memiliki anak (</w:t>
      </w:r>
      <w:r>
        <w:rPr>
          <w:lang w:val="id_ID" w:bidi="id_ID"/>
        </w:rPr>
        <w:t>Kej. 15:6</w:t>
      </w:r>
      <w:r>
        <w:rPr>
          <w:lang w:val="id_ID" w:bidi="id_ID"/>
        </w:rPr>
        <w:t>), dan Allah segera mulai menggenapi janji-Nya (</w:t>
      </w:r>
      <w:r>
        <w:rPr>
          <w:lang w:val="id_ID" w:bidi="id_ID"/>
        </w:rPr>
        <w:t>Kej. 21:1–7</w:t>
      </w:r>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r>
        <w:rPr>
          <w:lang w:val="id_ID" w:bidi="id_ID"/>
        </w:rPr>
        <w:t>Kej</w:t>
      </w:r>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r>
        <w:rPr>
          <w:lang w:val="id_ID" w:bidi="id_ID"/>
        </w:rPr>
        <w:t>18:11</w:t>
      </w:r>
      <w:r>
        <w:rPr>
          <w:lang w:val="id_ID" w:bidi="id_ID"/>
        </w:rPr>
        <w:t>). Ia dinyatakan dalam kitab Keluaran sebagai makhluk paling agung yang pernah ada (</w:t>
      </w:r>
      <w:r>
        <w:rPr>
          <w:lang w:val="id_ID" w:bidi="id_ID"/>
        </w:rPr>
        <w:t>3:5–6</w:t>
      </w:r>
      <w:r>
        <w:rPr>
          <w:lang w:val="id_ID" w:bidi="id_ID"/>
        </w:rPr>
        <w:t xml:space="preserve">, </w:t>
      </w:r>
      <w:r>
        <w:rPr>
          <w:lang w:val="id_ID" w:bidi="id_ID"/>
        </w:rPr>
        <w:t>14–15</w:t>
      </w:r>
      <w:r>
        <w:rPr>
          <w:lang w:val="id_ID" w:bidi="id_ID"/>
        </w:rPr>
        <w:t xml:space="preserve">; </w:t>
      </w:r>
      <w:r>
        <w:rPr>
          <w:lang w:val="id_ID" w:bidi="id_ID"/>
        </w:rPr>
        <w:t>6:3</w:t>
      </w:r>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r>
        <w:rPr>
          <w:lang w:val="id_ID" w:bidi="id_ID"/>
        </w:rPr>
        <w:t>34:5–6</w:t>
      </w:r>
      <w:r>
        <w:rPr>
          <w:lang w:val="id_ID" w:bidi="id_ID"/>
        </w:rPr>
        <w:t>).</w:t>
      </w:r>
    </w:p>
    <w:p>
      <w:pPr/>
      <w:r>
        <w:rPr>
          <w:lang w:val="id_ID" w:bidi="id_ID"/>
        </w:rPr>
      </w:r>
      <w:r>
        <w:rPr>
          <w:lang w:val="id_ID" w:bidi="id_ID"/>
        </w:rPr>
        <w:t>Allah memakai perjanjian (</w:t>
      </w:r>
      <w:r>
        <w:rPr>
          <w:lang w:val="id_ID" w:bidi="id_ID"/>
        </w:rPr>
        <w:t>Kel. 19–23</w:t>
      </w:r>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r>
        <w:rPr>
          <w:lang w:val="id_ID" w:bidi="id_ID"/>
        </w:rPr>
        <w:t>20:3–17</w:t>
      </w:r>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r>
        <w:rPr>
          <w:lang w:val="id_ID" w:bidi="id_ID"/>
        </w:rPr>
        <w:t>25–40</w:t>
      </w:r>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r>
        <w:rPr>
          <w:lang w:val="id_ID" w:bidi="id_ID"/>
        </w:rPr>
        <w:t>40:34–38</w:t>
      </w:r>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