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r>
        <w:rPr>
          <w:lang w:val="pt_PT" w:bidi="pt_PT"/>
        </w:rPr>
        <w:t>Êxodo 32:1–4</w:t>
      </w:r>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r>
        <w:rPr>
          <w:lang w:val="pt_PT" w:bidi="pt_PT"/>
        </w:rPr>
        <w:t>1:1–2:3</w:t>
      </w:r>
      <w:r>
        <w:rPr>
          <w:lang w:val="pt_PT" w:bidi="pt_PT"/>
        </w:rPr>
        <w:t>) não tem o título toledoth — é o relato da criação “no princípio” (</w:t>
      </w:r>
      <w:r>
        <w:rPr>
          <w:lang w:val="pt_PT" w:bidi="pt_PT"/>
        </w:rPr>
        <w:t>1:1</w:t>
      </w:r>
      <w:r>
        <w:rPr>
          <w:lang w:val="pt_PT" w:bidi="pt_PT"/>
        </w:rPr>
        <w:t>). A obra da criação está envolta na aprovação e bênção de Deus enquanto ele realiza seu plano.</w:t>
      </w:r>
    </w:p>
    <w:p>
      <w:pPr/>
      <w:r>
        <w:rPr>
          <w:lang w:val="pt_PT" w:bidi="pt_PT"/>
        </w:rPr>
      </w:r>
      <w:r>
        <w:rPr>
          <w:lang w:val="pt_PT" w:bidi="pt_PT"/>
        </w:rPr>
        <w:t>A próxima seção (</w:t>
      </w:r>
      <w:r>
        <w:rPr>
          <w:lang w:val="pt_PT" w:bidi="pt_PT"/>
        </w:rPr>
        <w:t>2:4–4:26</w:t>
      </w:r>
      <w:r>
        <w:rPr>
          <w:lang w:val="pt_PT" w:bidi="pt_PT"/>
        </w:rPr>
        <w:t>) enfoca a criação da vida humana (</w:t>
      </w:r>
      <w:r>
        <w:rPr>
          <w:lang w:val="pt_PT" w:bidi="pt_PT"/>
        </w:rPr>
        <w:t>2:4–25</w:t>
      </w:r>
      <w:r>
        <w:rPr>
          <w:lang w:val="pt_PT" w:bidi="pt_PT"/>
        </w:rPr>
        <w:t>) e traça o que se tornou a criação de Deus por causa do pecado de Adão e Eva (</w:t>
      </w:r>
      <w:r>
        <w:rPr>
          <w:lang w:val="pt_PT" w:bidi="pt_PT"/>
        </w:rPr>
        <w:t>3:1–13</w:t>
      </w:r>
      <w:r>
        <w:rPr>
          <w:lang w:val="pt_PT" w:bidi="pt_PT"/>
        </w:rPr>
        <w:t>), a maldição sobre seu pecado (</w:t>
      </w:r>
      <w:r>
        <w:rPr>
          <w:lang w:val="pt_PT" w:bidi="pt_PT"/>
        </w:rPr>
        <w:t>3:14–24</w:t>
      </w:r>
      <w:r>
        <w:rPr>
          <w:lang w:val="pt_PT" w:bidi="pt_PT"/>
        </w:rPr>
        <w:t>) e a extensão do pecado aos seus descendentes (</w:t>
      </w:r>
      <w:r>
        <w:rPr>
          <w:lang w:val="pt_PT" w:bidi="pt_PT"/>
        </w:rPr>
        <w:t>4:1–24</w:t>
      </w:r>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r>
        <w:rPr>
          <w:lang w:val="pt_PT" w:bidi="pt_PT"/>
        </w:rPr>
        <w:t>5:1–6:8</w:t>
      </w:r>
      <w:r>
        <w:rPr>
          <w:lang w:val="pt_PT" w:bidi="pt_PT"/>
        </w:rPr>
        <w:t xml:space="preserve">). A genealogia de </w:t>
      </w:r>
      <w:r>
        <w:rPr>
          <w:lang w:val="pt_PT" w:bidi="pt_PT"/>
        </w:rPr>
        <w:t>5:1–32</w:t>
      </w:r>
      <w:r>
        <w:rPr>
          <w:lang w:val="pt_PT" w:bidi="pt_PT"/>
        </w:rPr>
        <w:t xml:space="preserve"> começa lembrando que os seres humanos foram feitos à imagem de Deus e foram abençoados por ele (</w:t>
      </w:r>
      <w:r>
        <w:rPr>
          <w:lang w:val="pt_PT" w:bidi="pt_PT"/>
        </w:rPr>
        <w:t>5:1–2</w:t>
      </w:r>
      <w:r>
        <w:rPr>
          <w:lang w:val="pt_PT" w:bidi="pt_PT"/>
        </w:rPr>
        <w:t xml:space="preserve">). À medida que a genealogia é traçada, a morte de cada geração lembra ao leitor da maldição, com Enoque fornecendo um raio de esperança de que a maldição não é final. Em </w:t>
      </w:r>
      <w:r>
        <w:rPr>
          <w:lang w:val="pt_PT" w:bidi="pt_PT"/>
        </w:rPr>
        <w:t>6:1–8</w:t>
      </w:r>
      <w:r>
        <w:rPr>
          <w:lang w:val="pt_PT" w:bidi="pt_PT"/>
        </w:rPr>
        <w:t>, aprendemos que Deus se arrependeu de ter feito os humanos e decidiu julgar a terra. Noé, no entanto, recebeu o favor de Deus e forneceu uma fonte de esperança (</w:t>
      </w:r>
      <w:r>
        <w:rPr>
          <w:lang w:val="pt_PT" w:bidi="pt_PT"/>
        </w:rPr>
        <w:t>5:29</w:t>
      </w:r>
      <w:r>
        <w:rPr>
          <w:lang w:val="pt_PT" w:bidi="pt_PT"/>
        </w:rPr>
        <w:t xml:space="preserve">; </w:t>
      </w:r>
      <w:r>
        <w:rPr>
          <w:lang w:val="pt_PT" w:bidi="pt_PT"/>
        </w:rPr>
        <w:t>6:8</w:t>
      </w:r>
      <w:r>
        <w:rPr>
          <w:lang w:val="pt_PT" w:bidi="pt_PT"/>
        </w:rPr>
        <w:t>).</w:t>
      </w:r>
    </w:p>
    <w:p>
      <w:pPr/>
      <w:r>
        <w:rPr>
          <w:lang w:val="pt_PT" w:bidi="pt_PT"/>
        </w:rPr>
      </w:r>
      <w:r>
        <w:rPr>
          <w:lang w:val="pt_PT" w:bidi="pt_PT"/>
        </w:rPr>
        <w:t>A próxima seção (</w:t>
      </w:r>
      <w:r>
        <w:rPr>
          <w:lang w:val="pt_PT" w:bidi="pt_PT"/>
        </w:rPr>
        <w:t>6:9–9:29</w:t>
      </w:r>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r>
        <w:rPr>
          <w:lang w:val="pt_PT" w:bidi="pt_PT"/>
        </w:rPr>
        <w:t>10:1–11:9</w:t>
      </w:r>
      <w:r>
        <w:rPr>
          <w:lang w:val="pt_PT" w:bidi="pt_PT"/>
        </w:rPr>
        <w:t>), as pessoas estavam novamente inclinadas à desobediência. Por causa de sua rebelião, Deus os dispersou para evitar uma maior maldade (</w:t>
      </w:r>
      <w:r>
        <w:rPr>
          <w:lang w:val="pt_PT" w:bidi="pt_PT"/>
        </w:rPr>
        <w:t>11:1–9</w:t>
      </w:r>
      <w:r>
        <w:rPr>
          <w:lang w:val="pt_PT" w:bidi="pt_PT"/>
        </w:rPr>
        <w:t>).</w:t>
      </w:r>
    </w:p>
    <w:p>
      <w:pPr/>
      <w:r>
        <w:rPr>
          <w:lang w:val="pt_PT" w:bidi="pt_PT"/>
        </w:rPr>
      </w:r>
      <w:r>
        <w:rPr>
          <w:lang w:val="pt_PT" w:bidi="pt_PT"/>
        </w:rPr>
        <w:t xml:space="preserve">Após o caos das nações espalhadas, </w:t>
      </w:r>
      <w:r>
        <w:rPr>
          <w:lang w:val="pt_PT" w:bidi="pt_PT"/>
        </w:rPr>
        <w:t>11:10–26</w:t>
      </w:r>
      <w:r>
        <w:rPr>
          <w:lang w:val="pt_PT" w:bidi="pt_PT"/>
        </w:rPr>
        <w:t xml:space="preserve"> leva o foco para Abrão, através de quem Deus escolheu trazer bênçãos a todos. O resto do livro (</w:t>
      </w:r>
      <w:r>
        <w:rPr>
          <w:lang w:val="pt_PT" w:bidi="pt_PT"/>
        </w:rPr>
        <w:t>11:27–50:26</w:t>
      </w:r>
      <w:r>
        <w:rPr>
          <w:lang w:val="pt_PT" w:bidi="pt_PT"/>
        </w:rPr>
        <w:t>) fala da bênção de Deus a Abrão e seus descendentes. Deus primeiro fez uma aliança com Abrão (</w:t>
      </w:r>
      <w:r>
        <w:rPr>
          <w:lang w:val="pt_PT" w:bidi="pt_PT"/>
        </w:rPr>
        <w:t>11:27–25:11</w:t>
      </w:r>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r>
        <w:rPr>
          <w:lang w:val="pt_PT" w:bidi="pt_PT"/>
        </w:rPr>
        <w:t>25:12–18</w:t>
      </w:r>
      <w:r>
        <w:rPr>
          <w:lang w:val="pt_PT" w:bidi="pt_PT"/>
        </w:rPr>
        <w:t>), Gênesis traça em detalhes o que aconteceu com Isaque e sua família (</w:t>
      </w:r>
      <w:r>
        <w:rPr>
          <w:lang w:val="pt_PT" w:bidi="pt_PT"/>
        </w:rPr>
        <w:t>25:19–35:29</w:t>
      </w:r>
      <w:r>
        <w:rPr>
          <w:lang w:val="pt_PT" w:bidi="pt_PT"/>
        </w:rPr>
        <w:t>). Da mesma forma, a linhagem de Esaú (Edom) é tratada brevemente (</w:t>
      </w:r>
      <w:r>
        <w:rPr>
          <w:lang w:val="pt_PT" w:bidi="pt_PT"/>
        </w:rPr>
        <w:t>36:1–37:1</w:t>
      </w:r>
      <w:r>
        <w:rPr>
          <w:lang w:val="pt_PT" w:bidi="pt_PT"/>
        </w:rPr>
        <w:t>) antes da longa seção final, que diz respeito à linhagem escolhida de Jacó, o herdeiro (</w:t>
      </w:r>
      <w:r>
        <w:rPr>
          <w:lang w:val="pt_PT" w:bidi="pt_PT"/>
        </w:rPr>
        <w:t>37:2–50:26</w:t>
      </w:r>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r>
        <w:rPr>
          <w:lang w:val="pt_PT" w:bidi="pt_PT"/>
        </w:rPr>
        <w:t>50:24–26</w:t>
      </w:r>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r>
        <w:rPr>
          <w:lang w:val="pt_PT" w:bidi="pt_PT"/>
        </w:rPr>
        <w:t>Atos 7:22</w:t>
      </w:r>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r>
        <w:rPr>
          <w:lang w:val="pt_PT" w:bidi="pt_PT"/>
        </w:rPr>
        <w:t>Dt 34</w:t>
      </w:r>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r>
        <w:rPr>
          <w:lang w:val="pt_PT" w:bidi="pt_PT"/>
        </w:rPr>
        <w:t>36:31–43</w:t>
      </w:r>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r>
        <w:rPr>
          <w:lang w:val="pt_PT" w:bidi="pt_PT"/>
        </w:rPr>
        <w:t>Gn 38:15</w:t>
      </w:r>
      <w:r>
        <w:rPr>
          <w:lang w:val="pt_PT" w:bidi="pt_PT"/>
        </w:rPr>
        <w:t xml:space="preserve">, </w:t>
      </w:r>
      <w:r>
        <w:rPr>
          <w:lang w:val="pt_PT" w:bidi="pt_PT"/>
        </w:rPr>
        <w:t>21–22</w:t>
      </w:r>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r>
        <w:rPr>
          <w:lang w:val="pt_PT" w:bidi="pt_PT"/>
        </w:rPr>
        <w:t>1:14–18</w:t>
      </w:r>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r>
        <w:rPr>
          <w:lang w:val="pt_PT" w:bidi="pt_PT"/>
        </w:rPr>
        <w:t>Gênesis 2</w:t>
      </w:r>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r>
        <w:rPr>
          <w:lang w:val="pt_PT" w:bidi="pt_PT"/>
        </w:rPr>
        <w:t>12:1–3</w:t>
      </w:r>
      <w:r>
        <w:rPr>
          <w:lang w:val="pt_PT" w:bidi="pt_PT"/>
        </w:rPr>
        <w:t xml:space="preserve">; </w:t>
      </w:r>
      <w:r>
        <w:rPr>
          <w:lang w:val="pt_PT" w:bidi="pt_PT"/>
        </w:rPr>
        <w:t>15:1–21</w:t>
      </w:r>
      <w:r>
        <w:rPr>
          <w:lang w:val="pt_PT" w:bidi="pt_PT"/>
        </w:rPr>
        <w:t xml:space="preserve">; </w:t>
      </w:r>
      <w:r>
        <w:rPr>
          <w:lang w:val="pt_PT" w:bidi="pt_PT"/>
        </w:rPr>
        <w:t>17:1–8</w:t>
      </w:r>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r>
        <w:rPr>
          <w:lang w:val="pt_PT" w:bidi="pt_PT"/>
        </w:rPr>
        <w:t>Rm 8:28</w:t>
      </w:r>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r>
        <w:rPr>
          <w:lang w:val="pt_PT" w:bidi="pt_PT"/>
        </w:rPr>
        <w:t>Hb 11:6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