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r>
        <w:rPr>
          <w:lang w:val="pt_PT" w:bidi="pt_PT"/>
        </w:rPr>
        <w:t>3.8–10</w:t>
      </w:r>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r>
        <w:rPr>
          <w:lang w:val="pt_PT" w:bidi="pt_PT"/>
        </w:rPr>
        <w:t>2Cr 33.10–11</w:t>
      </w:r>
      <w:r>
        <w:rPr>
          <w:lang w:val="pt_PT" w:bidi="pt_PT"/>
        </w:rPr>
        <w:t>). Após sua libertação do cativeiro, um arrependido Manassés (</w:t>
      </w:r>
      <w:r>
        <w:rPr>
          <w:lang w:val="pt_PT" w:bidi="pt_PT"/>
        </w:rPr>
        <w:t>2Cr 33.12–17</w:t>
      </w:r>
      <w:r>
        <w:rPr>
          <w:lang w:val="pt_PT" w:bidi="pt_PT"/>
        </w:rPr>
        <w:t>) tentou desfazer sua antiga maldade (</w:t>
      </w:r>
      <w:r>
        <w:rPr>
          <w:lang w:val="pt_PT" w:bidi="pt_PT"/>
        </w:rPr>
        <w:t>2Rs 21.1–18</w:t>
      </w:r>
      <w:r>
        <w:rPr>
          <w:lang w:val="pt_PT" w:bidi="pt_PT"/>
        </w:rPr>
        <w:t xml:space="preserve">; </w:t>
      </w:r>
      <w:r>
        <w:rPr>
          <w:lang w:val="pt_PT" w:bidi="pt_PT"/>
        </w:rPr>
        <w:t>2Cr 33.1–9</w:t>
      </w:r>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r>
        <w:rPr>
          <w:lang w:val="pt_PT" w:bidi="pt_PT"/>
        </w:rPr>
        <w:t>1.2–6</w:t>
      </w:r>
      <w:r>
        <w:rPr>
          <w:lang w:val="pt_PT" w:bidi="pt_PT"/>
        </w:rPr>
        <w:t xml:space="preserve"> e </w:t>
      </w:r>
      <w:r>
        <w:rPr>
          <w:lang w:val="pt_PT" w:bidi="pt_PT"/>
        </w:rPr>
        <w:t>1.7–11</w:t>
      </w:r>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r>
        <w:rPr>
          <w:lang w:val="pt_PT" w:bidi="pt_PT"/>
        </w:rPr>
        <w:t>1.12–15</w:t>
      </w:r>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r>
        <w:rPr>
          <w:lang w:val="pt_PT" w:bidi="pt_PT"/>
        </w:rPr>
        <w:t>2.1–2</w:t>
      </w:r>
      <w:r>
        <w:rPr>
          <w:lang w:val="pt_PT" w:bidi="pt_PT"/>
        </w:rPr>
        <w:t>), Naum descreve a queda da capital assíria em duas representações vívidas (</w:t>
      </w:r>
      <w:r>
        <w:rPr>
          <w:lang w:val="pt_PT" w:bidi="pt_PT"/>
        </w:rPr>
        <w:t>2.3–10</w:t>
      </w:r>
      <w:r>
        <w:rPr>
          <w:lang w:val="pt_PT" w:bidi="pt_PT"/>
        </w:rPr>
        <w:t xml:space="preserve">; </w:t>
      </w:r>
      <w:r>
        <w:rPr>
          <w:lang w:val="pt_PT" w:bidi="pt_PT"/>
        </w:rPr>
        <w:t>3.1–7</w:t>
      </w:r>
      <w:r>
        <w:rPr>
          <w:lang w:val="pt_PT" w:bidi="pt_PT"/>
        </w:rPr>
        <w:t>). Entre os dois relatos, Naum contempla a destruição de Nínive em uma breve canção zombeteira. Com sátira mordaz, ele declara a intenção de Deus de pôr fim à ganância da orgulhosa Nínive (</w:t>
      </w:r>
      <w:r>
        <w:rPr>
          <w:lang w:val="pt_PT" w:bidi="pt_PT"/>
        </w:rPr>
        <w:t>2.11–13</w:t>
      </w:r>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r>
        <w:rPr>
          <w:lang w:val="pt_PT" w:bidi="pt_PT"/>
        </w:rPr>
        <w:t>3.8–13</w:t>
      </w:r>
      <w:r>
        <w:rPr>
          <w:lang w:val="pt_PT" w:bidi="pt_PT"/>
        </w:rPr>
        <w:t>), que a Assíria havia destruído. Naum encerra sua profecia com mais uma peça de sátira (</w:t>
      </w:r>
      <w:r>
        <w:rPr>
          <w:lang w:val="pt_PT" w:bidi="pt_PT"/>
        </w:rPr>
        <w:t>3.14–19</w:t>
      </w:r>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r>
        <w:rPr>
          <w:lang w:val="pt_PT" w:bidi="pt_PT"/>
        </w:rPr>
        <w:t>1.1</w:t>
      </w:r>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r>
        <w:rPr>
          <w:lang w:val="pt_PT" w:bidi="pt_PT"/>
        </w:rPr>
        <w:t>3.10</w:t>
      </w:r>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r>
        <w:rPr>
          <w:lang w:val="pt_PT" w:bidi="pt_PT"/>
        </w:rPr>
        <w:t>2Cr 33.12–16</w:t>
      </w:r>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r>
        <w:rPr>
          <w:lang w:val="pt_PT" w:bidi="pt_PT"/>
        </w:rPr>
        <w:t>1.3</w:t>
      </w:r>
      <w:r>
        <w:rPr>
          <w:lang w:val="pt_PT" w:bidi="pt_PT"/>
        </w:rPr>
        <w:t>), e seu povo deve ser perseverante. A certeza de que este bom e cuidadoso Senhor (</w:t>
      </w:r>
      <w:r>
        <w:rPr>
          <w:lang w:val="pt_PT" w:bidi="pt_PT"/>
        </w:rPr>
        <w:t>1.7</w:t>
      </w:r>
      <w:r>
        <w:rPr>
          <w:lang w:val="pt_PT" w:bidi="pt_PT"/>
        </w:rPr>
        <w:t>) tem um propósito distinto para seu povo (</w:t>
      </w:r>
      <w:r>
        <w:rPr>
          <w:lang w:val="pt_PT" w:bidi="pt_PT"/>
        </w:rPr>
        <w:t>2.2</w:t>
      </w:r>
      <w:r>
        <w:rPr>
          <w:lang w:val="pt_PT" w:bidi="pt_PT"/>
        </w:rPr>
        <w:t>) os encoraja a viver com fé e confiança. Apesar do tom ameaçador do livro, há boas-novas de esperança (</w:t>
      </w:r>
      <w:r>
        <w:rPr>
          <w:lang w:val="pt_PT" w:bidi="pt_PT"/>
        </w:rPr>
        <w:t>1.15</w:t>
      </w:r>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r>
        <w:rPr>
          <w:lang w:val="pt_PT" w:bidi="pt_PT"/>
        </w:rPr>
        <w:t>Rm 10.15</w:t>
      </w:r>
      <w:r>
        <w:rPr>
          <w:lang w:val="pt_PT" w:bidi="pt_PT"/>
        </w:rPr>
        <w:t xml:space="preserve">; veja também </w:t>
      </w:r>
      <w:r>
        <w:rPr>
          <w:lang w:val="pt_PT" w:bidi="pt_PT"/>
        </w:rPr>
        <w:t>Is 52.7</w:t>
      </w:r>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