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r>
        <w:rPr>
          <w:lang w:val="es_ES" w:bidi="es_ES"/>
        </w:rPr>
        <w:t>5:1–13,</w:t>
      </w:r>
      <w:r>
        <w:rPr>
          <w:lang w:val="es_ES" w:bidi="es_ES"/>
        </w:rPr>
        <w:t xml:space="preserve"> </w:t>
      </w:r>
      <w:r>
        <w:rPr>
          <w:lang w:val="es_ES" w:bidi="es_ES"/>
        </w:rPr>
        <w:t>6:12–20</w:t>
      </w:r>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r>
        <w:rPr>
          <w:lang w:val="es_ES" w:bidi="es_ES"/>
        </w:rPr>
        <w:t>1:10–12,</w:t>
      </w:r>
      <w:r>
        <w:rPr>
          <w:lang w:val="es_ES" w:bidi="es_ES"/>
        </w:rPr>
        <w:t xml:space="preserve"> </w:t>
      </w:r>
      <w:r>
        <w:rPr>
          <w:lang w:val="es_ES" w:bidi="es_ES"/>
        </w:rPr>
        <w:t>3:1–4</w:t>
      </w:r>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r>
        <w:rPr>
          <w:lang w:val="es_ES" w:bidi="es_ES"/>
        </w:rPr>
        <w:t>Hechos 18:1–17</w:t>
      </w:r>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r>
        <w:rPr>
          <w:lang w:val="es_ES" w:bidi="es_ES"/>
        </w:rPr>
        <w:t>1:1–4:21</w:t>
      </w:r>
      <w:r>
        <w:rPr>
          <w:lang w:val="es_ES" w:bidi="es_ES"/>
        </w:rPr>
        <w:t>).</w:t>
      </w:r>
    </w:p>
    <w:p>
      <w:pPr>
        <w:pStyle w:val="ListBullet"/>
        <w:spacing w:line="240" w:lineRule="auto"/>
        <w:ind w:left="720"/>
      </w:pPr>
      <w:r>
        <w:rPr>
          <w:lang w:val="es_ES" w:bidi="es_ES"/>
        </w:rPr>
      </w:r>
      <w:r>
        <w:rPr>
          <w:lang w:val="es_ES" w:bidi="es_ES"/>
        </w:rPr>
        <w:t>Un caso evidente de inmoralidad sexual en la iglesia (</w:t>
      </w:r>
      <w:r>
        <w:rPr>
          <w:lang w:val="es_ES" w:bidi="es_ES"/>
        </w:rPr>
        <w:t>5:1–13</w:t>
      </w:r>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r>
        <w:rPr>
          <w:lang w:val="es_ES" w:bidi="es_ES"/>
        </w:rPr>
        <w:t>6:1–20</w:t>
      </w:r>
      <w:r>
        <w:rPr>
          <w:lang w:val="es_ES" w:bidi="es_ES"/>
        </w:rPr>
        <w:t>).</w:t>
      </w:r>
    </w:p>
    <w:p>
      <w:pPr>
        <w:pStyle w:val="ListBullet"/>
        <w:spacing w:line="240" w:lineRule="auto"/>
        <w:ind w:left="720"/>
      </w:pPr>
      <w:r>
        <w:rPr>
          <w:lang w:val="es_ES" w:bidi="es_ES"/>
        </w:rPr>
      </w:r>
      <w:r>
        <w:rPr>
          <w:lang w:val="es_ES" w:bidi="es_ES"/>
        </w:rPr>
        <w:t>Problemas de inmoralidad sexual (</w:t>
      </w:r>
      <w:r>
        <w:rPr>
          <w:lang w:val="es_ES" w:bidi="es_ES"/>
        </w:rPr>
        <w:t>6:1–20</w:t>
      </w:r>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r>
        <w:rPr>
          <w:lang w:val="es_ES" w:bidi="es_ES"/>
        </w:rPr>
        <w:t>7:1–40</w:t>
      </w:r>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r>
        <w:rPr>
          <w:lang w:val="es_ES" w:bidi="es_ES"/>
        </w:rPr>
        <w:t>8:1–10:33</w:t>
      </w:r>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r>
        <w:rPr>
          <w:lang w:val="es_ES" w:bidi="es_ES"/>
        </w:rPr>
        <w:t>11:1–34</w:t>
      </w:r>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r>
        <w:rPr>
          <w:lang w:val="es_ES" w:bidi="es_ES"/>
        </w:rPr>
        <w:t>11:1–34</w:t>
      </w:r>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r>
        <w:rPr>
          <w:lang w:val="es_ES" w:bidi="es_ES"/>
        </w:rPr>
        <w:t>12:1–14:40</w:t>
      </w:r>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r>
        <w:rPr>
          <w:lang w:val="es_ES" w:bidi="es_ES"/>
        </w:rPr>
        <w:t>15:1–58</w:t>
      </w:r>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r>
        <w:rPr>
          <w:lang w:val="es_ES" w:bidi="es_ES"/>
        </w:rPr>
        <w:t>14:34–35</w:t>
      </w:r>
      <w:r>
        <w:rPr>
          <w:lang w:val="es_ES" w:bidi="es_ES"/>
        </w:rPr>
        <w:t xml:space="preserve"> (ver nota de estudio allí). Siguiendo la práctica común en el mundo antiguo, Pablo empleó un amanuense (secretario) para realizar la escritura de la carta (ver </w:t>
      </w:r>
      <w:r>
        <w:rPr>
          <w:lang w:val="es_ES" w:bidi="es_ES"/>
        </w:rPr>
        <w:t>16:21</w:t>
      </w:r>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r>
        <w:rPr>
          <w:lang w:val="es_ES" w:bidi="es_ES"/>
        </w:rPr>
        <w:t>Hechos 19:1–41</w:t>
      </w:r>
      <w:r>
        <w:rPr>
          <w:lang w:val="es_ES" w:bidi="es_ES"/>
        </w:rPr>
        <w:t xml:space="preserve">). Pablo había escrito una carta anterior a la iglesia en Corinto (ver </w:t>
      </w:r>
      <w:r>
        <w:rPr>
          <w:lang w:val="es_ES" w:bidi="es_ES"/>
        </w:rPr>
        <w:t>1 Co 5:9</w:t>
      </w:r>
      <w:r>
        <w:rPr>
          <w:lang w:val="es_ES" w:bidi="es_ES"/>
        </w:rPr>
        <w:t xml:space="preserve">), y los corintios respondieron, solicitando su consejo sobre varios temas (ver, por ejemplo, </w:t>
      </w:r>
      <w:r>
        <w:rPr>
          <w:lang w:val="es_ES" w:bidi="es_ES"/>
        </w:rPr>
        <w:t>7:1</w:t>
      </w:r>
      <w:r>
        <w:rPr>
          <w:lang w:val="es_ES" w:bidi="es_ES"/>
        </w:rPr>
        <w:t xml:space="preserve">). También había recibido informes y visitantes de Corinto (ver </w:t>
      </w:r>
      <w:r>
        <w:rPr>
          <w:lang w:val="es_ES" w:bidi="es_ES"/>
        </w:rPr>
        <w:t>1:11,</w:t>
      </w:r>
      <w:r>
        <w:rPr>
          <w:lang w:val="es_ES" w:bidi="es_ES"/>
        </w:rPr>
        <w:t xml:space="preserve"> </w:t>
      </w:r>
      <w:r>
        <w:rPr>
          <w:lang w:val="es_ES" w:bidi="es_ES"/>
        </w:rPr>
        <w:t>16:15–17</w:t>
      </w:r>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r>
        <w:rPr>
          <w:lang w:val="es_ES" w:bidi="es_ES"/>
        </w:rPr>
        <w:t>16:15–17</w:t>
      </w:r>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r>
        <w:rPr>
          <w:lang w:val="es_ES" w:bidi="es_ES"/>
        </w:rPr>
        <w:t>2 Co 2:1–11,</w:t>
      </w:r>
      <w:r>
        <w:rPr>
          <w:lang w:val="es_ES" w:bidi="es_ES"/>
        </w:rPr>
        <w:t xml:space="preserve"> </w:t>
      </w:r>
      <w:r>
        <w:rPr>
          <w:lang w:val="es_ES" w:bidi="es_ES"/>
        </w:rPr>
        <w:t>7:8–10,</w:t>
      </w:r>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r>
        <w:rPr>
          <w:lang w:val="es_ES" w:bidi="es_ES"/>
        </w:rPr>
        <w:t>5:1–6:20</w:t>
      </w:r>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r>
        <w:rPr>
          <w:lang w:val="es_ES" w:bidi="es_ES"/>
        </w:rPr>
        <w:t>6:15–20</w:t>
      </w:r>
      <w:r>
        <w:rPr>
          <w:lang w:val="es_ES" w:bidi="es_ES"/>
        </w:rPr>
        <w:t>).</w:t>
      </w:r>
    </w:p>
    <w:p>
      <w:pPr/>
      <w:r>
        <w:rPr>
          <w:lang w:val="es_ES" w:bidi="es_ES"/>
        </w:rPr>
      </w:r>
      <w:r>
        <w:rPr>
          <w:lang w:val="es_ES" w:bidi="es_ES"/>
        </w:rPr>
        <w:t>Cuando Pablo desaconseja a los creyentes de llevarse unos a otros a los tribunales paganos (</w:t>
      </w:r>
      <w:r>
        <w:rPr>
          <w:lang w:val="es_ES" w:bidi="es_ES"/>
        </w:rPr>
        <w:t>6:1–8</w:t>
      </w:r>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r>
        <w:rPr>
          <w:lang w:val="es_ES" w:bidi="es_ES"/>
        </w:rPr>
        <w:t>7:1–40</w:t>
      </w:r>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r>
        <w:rPr>
          <w:lang w:val="es_ES" w:bidi="es_ES"/>
        </w:rPr>
        <w:t>8:1–13</w:t>
      </w:r>
      <w:r>
        <w:rPr>
          <w:lang w:val="es_ES" w:bidi="es_ES"/>
        </w:rPr>
        <w:t xml:space="preserve">; </w:t>
      </w:r>
      <w:r>
        <w:rPr>
          <w:lang w:val="es_ES" w:bidi="es_ES"/>
        </w:rPr>
        <w:t>10:1–11:1</w:t>
      </w:r>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r>
        <w:rPr>
          <w:lang w:val="es_ES" w:bidi="es_ES"/>
        </w:rPr>
        <w:t>10:31–33</w:t>
      </w:r>
      <w:r>
        <w:rPr>
          <w:lang w:val="es_ES" w:bidi="es_ES"/>
        </w:rPr>
        <w:t>). Este es el equivalente de Pablo a los dos grandes mandamientos de amor de Jesús (</w:t>
      </w:r>
      <w:r>
        <w:rPr>
          <w:lang w:val="es_ES" w:bidi="es_ES"/>
        </w:rPr>
        <w:t>Mt 22:36–40,</w:t>
      </w:r>
      <w:r>
        <w:rPr>
          <w:lang w:val="es_ES" w:bidi="es_ES"/>
        </w:rPr>
        <w:t xml:space="preserve"> </w:t>
      </w:r>
      <w:r>
        <w:rPr>
          <w:lang w:val="es_ES" w:bidi="es_ES"/>
        </w:rPr>
        <w:t>Lucas 10:25–37</w:t>
      </w:r>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r>
        <w:rPr>
          <w:lang w:val="es_ES" w:bidi="es_ES"/>
        </w:rPr>
        <w:t>1 Co 1:1–4:21</w:t>
      </w:r>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r>
        <w:rPr>
          <w:lang w:val="es_ES" w:bidi="es_ES"/>
        </w:rPr>
        <w:t>1:10–4:21</w:t>
      </w:r>
      <w:r>
        <w:rPr>
          <w:lang w:val="es_ES" w:bidi="es_ES"/>
        </w:rPr>
        <w:t xml:space="preserve">, grupos en la iglesia; </w:t>
      </w:r>
      <w:r>
        <w:rPr>
          <w:lang w:val="es_ES" w:bidi="es_ES"/>
        </w:rPr>
        <w:t>6:1–12</w:t>
      </w:r>
      <w:r>
        <w:rPr>
          <w:lang w:val="es_ES" w:bidi="es_ES"/>
        </w:rPr>
        <w:t xml:space="preserve">, denuncias contra otros cristianos; </w:t>
      </w:r>
      <w:r>
        <w:rPr>
          <w:lang w:val="es_ES" w:bidi="es_ES"/>
        </w:rPr>
        <w:t>8:1–11:1</w:t>
      </w:r>
      <w:r>
        <w:rPr>
          <w:lang w:val="es_ES" w:bidi="es_ES"/>
        </w:rPr>
        <w:t xml:space="preserve">, diferentes opiniones sobre alimentos sacrificados a ídolos; </w:t>
      </w:r>
      <w:r>
        <w:rPr>
          <w:lang w:val="es_ES" w:bidi="es_ES"/>
        </w:rPr>
        <w:t>11:2–16</w:t>
      </w:r>
      <w:r>
        <w:rPr>
          <w:lang w:val="es_ES" w:bidi="es_ES"/>
        </w:rPr>
        <w:t xml:space="preserve">, diferentes opiniones sobre la vestimenta adecuada para las mujeres que ministran públicamente; </w:t>
      </w:r>
      <w:r>
        <w:rPr>
          <w:lang w:val="es_ES" w:bidi="es_ES"/>
        </w:rPr>
        <w:t>11:17–34</w:t>
      </w:r>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r>
        <w:rPr>
          <w:lang w:val="es_ES" w:bidi="es_ES"/>
        </w:rPr>
        <w:t>13</w:t>
      </w:r>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r>
        <w:rPr>
          <w:lang w:val="es_ES" w:bidi="es_ES"/>
        </w:rPr>
        <w:t>7:25–31</w:t>
      </w:r>
      <w:r>
        <w:rPr>
          <w:lang w:val="es_ES" w:bidi="es_ES"/>
        </w:rPr>
        <w:t xml:space="preserve">), Pablo anima a aquellos que están solteros a permanecer así, considerando la soltería como una oportunidad para dedicar plena devoción a la obra de Cristo en el mundo (ver </w:t>
      </w:r>
      <w:r>
        <w:rPr>
          <w:lang w:val="es_ES" w:bidi="es_ES"/>
        </w:rPr>
        <w:t>7:32–35</w:t>
      </w:r>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r>
        <w:rPr>
          <w:lang w:val="es_ES" w:bidi="es_ES"/>
        </w:rPr>
        <w:t>10–11</w:t>
      </w:r>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r>
        <w:rPr>
          <w:lang w:val="es_ES" w:bidi="es_ES"/>
        </w:rPr>
        <w:t>12</w:t>
      </w:r>
      <w:r>
        <w:rPr>
          <w:lang w:val="es_ES" w:bidi="es_ES"/>
        </w:rPr>
        <w:t xml:space="preserve">, </w:t>
      </w:r>
      <w:r>
        <w:rPr>
          <w:lang w:val="es_ES" w:bidi="es_ES"/>
        </w:rPr>
        <w:t>14</w:t>
      </w:r>
      <w:r>
        <w:rPr>
          <w:lang w:val="es_ES" w:bidi="es_ES"/>
        </w:rPr>
        <w:t>). En los primeros tiempos del movimiento cristiano, la iglesia sí contaba con líderes reconocidos. Aun así, Pablo describe a la iglesia reunida como una comunidad en la que el Espíritu otorgaba diferentes dones a diferentes personas. Estos dones ayudaban a los creyentes a servirse unos a otros de manera que sus esfuerzos se complementaran. Cada persona contribuía a fortalecer el cuerpo. Además, cada persona dependía del Espíritu Santo para recibir el poder y la guía necesarios para esta labor.</w:t>
      </w:r>
    </w:p>
    <w:p>
      <w:pPr/>
      <w:r>
        <w:rPr>
          <w:lang w:val="es_ES" w:bidi="es_ES"/>
        </w:rPr>
      </w:r>
      <w:r>
        <w:rPr>
          <w:lang w:val="es_ES" w:bidi="es_ES"/>
        </w:rPr>
        <w:t xml:space="preserve">La Resurrección. Entre los escritos del Nuevo Testamento, esta carta nos ofrece la discusión más completa sobre la resurrección (cap. </w:t>
      </w:r>
      <w:r>
        <w:rPr>
          <w:lang w:val="es_ES" w:bidi="es_ES"/>
        </w:rPr>
        <w:t>15</w:t>
      </w:r>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