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r>
        <w:rPr>
          <w:lang w:val="sw_KE" w:bidi="sw_KE"/>
        </w:rPr>
        <w:t>Matendo 2:11</w:t>
      </w:r>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r>
        <w:rPr>
          <w:lang w:val="sw_KE" w:bidi="sw_KE"/>
        </w:rPr>
        <w:t>Tito 1:5</w:t>
      </w:r>
      <w:r>
        <w:rPr>
          <w:lang w:val="sw_KE" w:bidi="sw_KE"/>
        </w:rPr>
        <w:t>). Sehemu nyingine ya pekee ambapo Krete imetajwa katika Agano Jipya ni wakati Paulo alikuwa anahamishwa kwenda Rumi kama mfungwa (</w:t>
      </w:r>
      <w:r>
        <w:rPr>
          <w:lang w:val="sw_KE" w:bidi="sw_KE"/>
        </w:rPr>
        <w:t>Matendo 27:7–21</w:t>
      </w:r>
      <w:r>
        <w:rPr>
          <w:lang w:val="sw_KE" w:bidi="sw_KE"/>
        </w:rPr>
        <w:t xml:space="preserve">). Paulo hakuwa na fursa ya kufanya huduma huko Krete wakati huo. Inawezekana kwamba kazi ya Paulo huko Krete ilianza baada ya matukio ya </w:t>
      </w:r>
      <w:r>
        <w:rPr>
          <w:lang w:val="sw_KE" w:bidi="sw_KE"/>
        </w:rPr>
        <w:t>Matendo 28:1–31</w:t>
      </w:r>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r>
        <w:rPr>
          <w:lang w:val="sw_KE" w:bidi="sw_KE"/>
        </w:rPr>
        <w:t>Matendo 14:23</w:t>
      </w:r>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r>
        <w:rPr>
          <w:lang w:val="sw_KE" w:bidi="sw_KE"/>
        </w:rPr>
        <w:t>Tito 3:12</w:t>
      </w:r>
      <w:r>
        <w:rPr>
          <w:lang w:val="sw_KE" w:bidi="sw_KE"/>
        </w:rPr>
        <w:t xml:space="preserve">). Mpango wa Paulo wa kukaa Nekopoli wakati wa msimu wa baridi unapendekeza kwamba alipanga kusafiri kwa meli kuelekea magharibi kutoka huko msimu wa kuchipua utakapofika (tazama </w:t>
      </w:r>
      <w:r>
        <w:rPr>
          <w:lang w:val="sw_KE" w:bidi="sw_KE"/>
        </w:rPr>
        <w:t>2 Tim. 4:21</w:t>
      </w:r>
      <w:r>
        <w:rPr>
          <w:lang w:val="sw_KE" w:bidi="sw_KE"/>
        </w:rPr>
        <w:t xml:space="preserve">), yamkini akielekea Italia na inawezekana Uhispania (tazama </w:t>
      </w:r>
      <w:r>
        <w:rPr>
          <w:lang w:val="sw_KE" w:bidi="sw_KE"/>
        </w:rPr>
        <w:t>Rum. 15:24</w:t>
      </w:r>
      <w:r>
        <w:rPr>
          <w:lang w:val="sw_KE" w:bidi="sw_KE"/>
        </w:rPr>
        <w:t xml:space="preserve">, </w:t>
      </w:r>
      <w:r>
        <w:rPr>
          <w:lang w:val="sw_KE" w:bidi="sw_KE"/>
        </w:rPr>
        <w:t>28</w:t>
      </w:r>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r>
        <w:rPr>
          <w:lang w:val="sw_KE" w:bidi="sw_KE"/>
        </w:rPr>
        <w:t>1:5–3:11</w:t>
      </w:r>
      <w:r>
        <w:rPr>
          <w:lang w:val="sw_KE" w:bidi="sw_KE"/>
        </w:rPr>
        <w:t>) inafuata mtindo wa amri, mantiki, na jukumu. Paulo anafuata mtindo huu mara kwa mara, iwe anashughulikia suala la uteuzi wa wazee wa kanisa (</w:t>
      </w:r>
      <w:r>
        <w:rPr>
          <w:lang w:val="sw_KE" w:bidi="sw_KE"/>
        </w:rPr>
        <w:t>1:5–16</w:t>
      </w:r>
      <w:r>
        <w:rPr>
          <w:lang w:val="sw_KE" w:bidi="sw_KE"/>
        </w:rPr>
        <w:t>), mwenendo sahihi miongoni mwa washiriki wa nyumba ya imani (</w:t>
      </w:r>
      <w:r>
        <w:rPr>
          <w:lang w:val="sw_KE" w:bidi="sw_KE"/>
        </w:rPr>
        <w:t>2:1–15</w:t>
      </w:r>
      <w:r>
        <w:rPr>
          <w:lang w:val="sw_KE" w:bidi="sw_KE"/>
        </w:rPr>
        <w:t>), au mwenendo sahihi katika jamii kwa ujumla (</w:t>
      </w:r>
      <w:r>
        <w:rPr>
          <w:lang w:val="sw_KE" w:bidi="sw_KE"/>
        </w:rPr>
        <w:t>3:1–11</w:t>
      </w:r>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r>
        <w:rPr>
          <w:lang w:val="sw_KE" w:bidi="sw_KE"/>
        </w:rPr>
        <w:t>Matendo 21</w:t>
      </w:r>
      <w:r>
        <w:rPr>
          <w:lang w:val="sw_KE" w:bidi="sw_KE"/>
        </w:rPr>
        <w:t xml:space="preserve">, lakini tarehe wakati fulani baada ya kifungo chake cha </w:t>
      </w:r>
      <w:r>
        <w:rPr>
          <w:lang w:val="sw_KE" w:bidi="sw_KE"/>
        </w:rPr>
        <w:t>Matendo 28</w:t>
      </w:r>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r>
        <w:rPr>
          <w:lang w:val="sw_KE" w:bidi="sw_KE"/>
        </w:rPr>
        <w:t>2:13</w:t>
      </w:r>
      <w:r>
        <w:rPr>
          <w:lang w:val="sw_KE" w:bidi="sw_KE"/>
        </w:rPr>
        <w:t>)—na anatoa ukombozi kupitia rehema pekee (</w:t>
      </w:r>
      <w:r>
        <w:rPr>
          <w:lang w:val="sw_KE" w:bidi="sw_KE"/>
        </w:rPr>
        <w:t>3:5</w:t>
      </w:r>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r>
        <w:rPr>
          <w:lang w:val="sw_KE" w:bidi="sw_KE"/>
        </w:rPr>
        <w:t>Tito 1:10–16</w:t>
      </w:r>
      <w:r>
        <w:rPr>
          <w:lang w:val="sw_KE" w:bidi="sw_KE"/>
        </w:rPr>
        <w:t xml:space="preserve">) inapendekeza kwamba mafundisho kama hayo yalikuwa yanakabiliwa katika meneo hayo mawili ( </w:t>
      </w:r>
      <w:r>
        <w:rPr>
          <w:lang w:val="sw_KE" w:bidi="sw_KE"/>
        </w:rPr>
        <w:t>1 Tim. 1:4–7</w:t>
      </w:r>
      <w:r>
        <w:rPr>
          <w:lang w:val="sw_KE" w:bidi="sw_KE"/>
        </w:rPr>
        <w:t xml:space="preserve">; </w:t>
      </w:r>
      <w:r>
        <w:rPr>
          <w:lang w:val="sw_KE" w:bidi="sw_KE"/>
        </w:rPr>
        <w:t>4:1–4</w:t>
      </w:r>
      <w:r>
        <w:rPr>
          <w:lang w:val="sw_KE" w:bidi="sw_KE"/>
        </w:rPr>
        <w:t xml:space="preserve">; </w:t>
      </w:r>
      <w:r>
        <w:rPr>
          <w:lang w:val="sw_KE" w:bidi="sw_KE"/>
        </w:rPr>
        <w:t>2 Tim. 3:1–7</w:t>
      </w:r>
      <w:r>
        <w:rPr>
          <w:lang w:val="sw_KE" w:bidi="sw_KE"/>
        </w:rPr>
        <w:t xml:space="preserve">; </w:t>
      </w:r>
      <w:r>
        <w:rPr>
          <w:lang w:val="sw_KE" w:bidi="sw_KE"/>
        </w:rPr>
        <w:t>4:3–4</w:t>
      </w:r>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r>
        <w:rPr>
          <w:lang w:val="sw_KE" w:bidi="sw_KE"/>
        </w:rPr>
        <w:t>1 Tim. 5:3–16</w:t>
      </w:r>
      <w:r>
        <w:rPr>
          <w:lang w:val="sw_KE" w:bidi="sw_KE"/>
        </w:rPr>
        <w:t>) na mashemasi (</w:t>
      </w:r>
      <w:r>
        <w:rPr>
          <w:lang w:val="sw_KE" w:bidi="sw_KE"/>
        </w:rPr>
        <w:t>1 Tim. 3:8–13</w:t>
      </w:r>
      <w:r>
        <w:rPr>
          <w:lang w:val="sw_KE" w:bidi="sw_KE"/>
        </w:rPr>
        <w:t xml:space="preserve">). Kutofautiana kati ya watu wasumbufu kunaweza kueleza ukimya kuhusiana na suala la walimu wanawake (tazama </w:t>
      </w:r>
      <w:r>
        <w:rPr>
          <w:lang w:val="sw_KE" w:bidi="sw_KE"/>
        </w:rPr>
        <w:t>1 Tim. 2:11–15</w:t>
      </w:r>
      <w:r>
        <w:rPr>
          <w:lang w:val="sw_KE" w:bidi="sw_KE"/>
        </w:rPr>
        <w:t>). Vigezo vya viongozi (</w:t>
      </w:r>
      <w:r>
        <w:rPr>
          <w:lang w:val="sw_KE" w:bidi="sw_KE"/>
        </w:rPr>
        <w:t>Titus 1:6–9</w:t>
      </w:r>
      <w:r>
        <w:rPr>
          <w:lang w:val="sw_KE" w:bidi="sw_KE"/>
        </w:rPr>
        <w:t xml:space="preserve">), pamoja na viwango vya maadili kwa ajili ya watu wa jamii (tazama </w:t>
      </w:r>
      <w:r>
        <w:rPr>
          <w:lang w:val="sw_KE" w:bidi="sw_KE"/>
        </w:rPr>
        <w:t>2:1–10</w:t>
      </w:r>
      <w:r>
        <w:rPr>
          <w:lang w:val="sw_KE" w:bidi="sw_KE"/>
        </w:rPr>
        <w:t>), huenda vikaonyesha kushushwa kwa viwango vya maadili ili kuwajumuisha waongofu wapya waliolelewa kipagani. Hatimaye, msisitizo wa kulinda amana, ambao ni muhimu sana katika Timotheo (</w:t>
      </w:r>
      <w:r>
        <w:rPr>
          <w:lang w:val="sw_KE" w:bidi="sw_KE"/>
        </w:rPr>
        <w:t>1 Tim. 1:18</w:t>
      </w:r>
      <w:r>
        <w:rPr>
          <w:lang w:val="sw_KE" w:bidi="sw_KE"/>
        </w:rPr>
        <w:t xml:space="preserve">; </w:t>
      </w:r>
      <w:r>
        <w:rPr>
          <w:lang w:val="sw_KE" w:bidi="sw_KE"/>
        </w:rPr>
        <w:t>6:20</w:t>
      </w:r>
      <w:r>
        <w:rPr>
          <w:lang w:val="sw_KE" w:bidi="sw_KE"/>
        </w:rPr>
        <w:t xml:space="preserve">; </w:t>
      </w:r>
      <w:r>
        <w:rPr>
          <w:lang w:val="sw_KE" w:bidi="sw_KE"/>
        </w:rPr>
        <w:t>2 Tim. 1:12–14</w:t>
      </w:r>
      <w:r>
        <w:rPr>
          <w:lang w:val="sw_KE" w:bidi="sw_KE"/>
        </w:rPr>
        <w:t xml:space="preserve">; </w:t>
      </w:r>
      <w:r>
        <w:rPr>
          <w:lang w:val="sw_KE" w:bidi="sw_KE"/>
        </w:rPr>
        <w:t>2:2</w:t>
      </w:r>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r>
        <w:rPr>
          <w:lang w:val="sw_KE" w:bidi="sw_KE"/>
        </w:rPr>
        <w:t>2:10–11</w:t>
      </w:r>
      <w:r>
        <w:rPr>
          <w:lang w:val="sw_KE" w:bidi="sw_KE"/>
        </w:rPr>
        <w:t xml:space="preserve">; </w:t>
      </w:r>
      <w:r>
        <w:rPr>
          <w:lang w:val="sw_KE" w:bidi="sw_KE"/>
        </w:rPr>
        <w:t>3:2–3</w:t>
      </w:r>
      <w:r>
        <w:rPr>
          <w:lang w:val="sw_KE" w:bidi="sw_KE"/>
        </w:rPr>
        <w:t xml:space="preserve">, </w:t>
      </w:r>
      <w:r>
        <w:rPr>
          <w:lang w:val="sw_KE" w:bidi="sw_KE"/>
        </w:rPr>
        <w:t>8</w:t>
      </w:r>
      <w:r>
        <w:rPr>
          <w:lang w:val="sw_KE" w:bidi="sw_KE"/>
        </w:rPr>
        <w:t xml:space="preserve">; tazama </w:t>
      </w:r>
      <w:r>
        <w:rPr>
          <w:lang w:val="sw_KE" w:bidi="sw_KE"/>
        </w:rPr>
        <w:t>Mat. 5:14–16</w:t>
      </w:r>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r>
        <w:rPr>
          <w:lang w:val="sw_KE" w:bidi="sw_KE"/>
        </w:rPr>
        <w:t>Tito 2:1–15</w:t>
      </w:r>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r>
        <w:rPr>
          <w:lang w:val="sw_KE" w:bidi="sw_KE"/>
        </w:rPr>
        <w:t>3:1–11</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