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w:t>
      </w:r>
      <w:r>
        <w:rPr>
          <w:lang w:val="ar_AE" w:bidi="ar_AE"/>
        </w:rPr>
      </w:r>
    </w:p>
    <w:p>
      <w:pPr>
        <w:bidi/>
      </w:pPr>
      <w:r>
        <w:rPr>
          <w:lang w:val="ar_AE" w:bidi="ar_AE"/>
        </w:rPr>
      </w:r>
      <w:r>
        <w:rPr>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lang w:val="ar_AE" w:bidi="ar_AE"/>
        </w:rPr>
        <w:t>بـ"نعم"</w:t>
      </w:r>
      <w:r>
        <w:rPr>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lang w:val="ar_AE" w:bidi="ar_AE"/>
        </w:rPr>
        <w:t>الإطار الأدبي</w:t>
      </w:r>
    </w:p>
    <w:p>
      <w:pPr>
        <w:bidi/>
      </w:pPr>
      <w:r>
        <w:rPr>
          <w:lang w:val="ar_AE" w:bidi="ar_AE"/>
        </w:rPr>
      </w:r>
      <w:r>
        <w:rPr>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lang w:val="ar_AE" w:bidi="ar_AE"/>
        </w:rPr>
      </w:r>
      <w:r>
        <w:rPr>
          <w:lang w:val="ar_AE" w:bidi="ar_AE"/>
        </w:rPr>
        <w:t>في حياة عزيا ملك يهوذا، لم تلق يهوذا بالًا بهذه المحنة. في العموم، كان عزيا ملكًا صالحًا وذا مآثر، وبنى جيشًا قويًا (</w:t>
      </w:r>
      <w:r>
        <w:rPr>
          <w:lang w:val="ar_AE" w:bidi="ar_AE"/>
        </w:rPr>
        <w:t>2 أخبار الأيام 26: 11–15</w:t>
      </w:r>
      <w:r>
        <w:rPr>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lang w:val="ar_AE" w:bidi="ar_AE"/>
        </w:rPr>
        <w:t>إشعياء 6</w:t>
      </w:r>
      <w:r>
        <w:rPr>
          <w:lang w:val="ar_AE" w:bidi="ar_AE"/>
        </w:rPr>
        <w:t>).</w:t>
      </w:r>
    </w:p>
    <w:p>
      <w:pPr>
        <w:bidi/>
      </w:pPr>
      <w:r>
        <w:rPr>
          <w:lang w:val="ar_AE" w:bidi="ar_AE"/>
        </w:rPr>
      </w:r>
      <w:r>
        <w:rPr>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lang w:val="ar_AE" w:bidi="ar_AE"/>
        </w:rPr>
      </w:r>
      <w:r>
        <w:rPr>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lang w:val="ar_AE" w:bidi="ar_AE"/>
        </w:rPr>
        <w:t>2 أخبار الأيام 28: 16–21</w:t>
      </w:r>
      <w:r>
        <w:rPr>
          <w:lang w:val="ar_AE" w:bidi="ar_AE"/>
        </w:rPr>
        <w:t>) بدلًا من الوثوق بالله (</w:t>
      </w:r>
      <w:r>
        <w:rPr>
          <w:lang w:val="ar_AE" w:bidi="ar_AE"/>
        </w:rPr>
        <w:t>إشعياء 7: 1–12</w:t>
      </w:r>
      <w:r>
        <w:rPr>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lang w:val="ar_AE" w:bidi="ar_AE"/>
        </w:rPr>
        <w:t>2 ملوك 17: 5–18</w:t>
      </w:r>
      <w:r>
        <w:rPr>
          <w:lang w:val="ar_AE" w:bidi="ar_AE"/>
        </w:rPr>
        <w:t>).</w:t>
      </w:r>
    </w:p>
    <w:p>
      <w:pPr>
        <w:bidi/>
      </w:pPr>
      <w:r>
        <w:rPr>
          <w:lang w:val="ar_AE" w:bidi="ar_AE"/>
        </w:rPr>
      </w:r>
      <w:r>
        <w:rPr>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lang w:val="ar_AE" w:bidi="ar_AE"/>
        </w:rPr>
        <w:t>37: 21–36</w:t>
      </w:r>
      <w:r>
        <w:rPr>
          <w:lang w:val="ar_AE" w:bidi="ar_AE"/>
        </w:rPr>
        <w:t>).</w:t>
      </w:r>
    </w:p>
    <w:p>
      <w:pPr>
        <w:bidi/>
      </w:pPr>
      <w:r>
        <w:rPr>
          <w:lang w:val="ar_AE" w:bidi="ar_AE"/>
        </w:rPr>
      </w:r>
      <w:r>
        <w:rPr>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lang w:val="ar_AE" w:bidi="ar_AE"/>
        </w:rPr>
      </w:r>
      <w:r>
        <w:rPr>
          <w:lang w:val="ar_AE" w:bidi="ar_AE"/>
        </w:rPr>
        <w:t xml:space="preserve">عند العودة من السبي (538 ق.م؛ انظر </w:t>
      </w:r>
      <w:r>
        <w:rPr>
          <w:lang w:val="ar_AE" w:bidi="ar_AE"/>
        </w:rPr>
        <w:t>عزرا 1: 1–4</w:t>
      </w:r>
      <w:r>
        <w:rPr>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lang w:val="ar_AE" w:bidi="ar_AE"/>
        </w:rPr>
        <w:t>المُلخص</w:t>
      </w:r>
    </w:p>
    <w:p>
      <w:pPr>
        <w:bidi/>
      </w:pPr>
      <w:r>
        <w:rPr>
          <w:lang w:val="ar_AE" w:bidi="ar_AE"/>
        </w:rPr>
      </w:r>
      <w:r>
        <w:rPr>
          <w:lang w:val="ar_AE" w:bidi="ar_AE"/>
        </w:rPr>
        <w:t xml:space="preserve">يغطي </w:t>
      </w:r>
      <w:r>
        <w:rPr>
          <w:lang w:val="ar_AE" w:bidi="ar_AE"/>
        </w:rPr>
        <w:t>إشعياء 1–39</w:t>
      </w:r>
      <w:r>
        <w:rPr>
          <w:lang w:val="ar_AE" w:bidi="ar_AE"/>
        </w:rPr>
        <w:t xml:space="preserve"> الفترة الممتدة من موت عزيا (740 ق.م) إلى 701 ق.م. تقارن المقدمة (الأصحاحات </w:t>
      </w:r>
      <w:r>
        <w:rPr>
          <w:lang w:val="ar_AE" w:bidi="ar_AE"/>
        </w:rPr>
        <w:t>1–5</w:t>
      </w:r>
      <w:r>
        <w:rPr>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lang w:val="ar_AE" w:bidi="ar_AE"/>
        </w:rPr>
        <w:t>الأصحاح 6</w:t>
      </w:r>
      <w:r>
        <w:rPr>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lang w:val="ar_AE" w:bidi="ar_AE"/>
        </w:rPr>
        <w:t>الأصحاحات 13–35</w:t>
      </w:r>
      <w:r>
        <w:rPr>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lang w:val="ar_AE" w:bidi="ar_AE"/>
        </w:rPr>
        <w:t>الأصحاحات 7–12</w:t>
      </w:r>
      <w:r>
        <w:rPr>
          <w:lang w:val="ar_AE" w:bidi="ar_AE"/>
        </w:rPr>
        <w:t xml:space="preserve">، وحادثة الملك حزقيا في الأصحاحات </w:t>
      </w:r>
      <w:r>
        <w:rPr>
          <w:lang w:val="ar_AE" w:bidi="ar_AE"/>
        </w:rPr>
        <w:t>36–39</w:t>
      </w:r>
      <w:r>
        <w:rPr>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lang w:val="ar_AE" w:bidi="ar_AE"/>
        </w:rPr>
        <w:t>أصحاح 39</w:t>
      </w:r>
      <w:r>
        <w:rPr>
          <w:lang w:val="ar_AE" w:bidi="ar_AE"/>
        </w:rPr>
        <w:t>)، ما مهَّد الطريق لهزيمة يهوذا اللاحقَة والسبي إلى بابل.</w:t>
      </w:r>
    </w:p>
    <w:p>
      <w:pPr>
        <w:bidi/>
      </w:pPr>
      <w:r>
        <w:rPr>
          <w:lang w:val="ar_AE" w:bidi="ar_AE"/>
        </w:rPr>
      </w:r>
      <w:r>
        <w:rPr>
          <w:lang w:val="ar_AE" w:bidi="ar_AE"/>
        </w:rPr>
        <w:t xml:space="preserve">يتناول </w:t>
      </w:r>
      <w:r>
        <w:rPr>
          <w:lang w:val="ar_AE" w:bidi="ar_AE"/>
        </w:rPr>
        <w:t>إشعياء 40–55</w:t>
      </w:r>
      <w:r>
        <w:rPr>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lang w:val="ar_AE" w:bidi="ar_AE"/>
        </w:rPr>
        <w:t>الأصحاحات 40–48</w:t>
      </w:r>
      <w:r>
        <w:rPr>
          <w:lang w:val="ar_AE" w:bidi="ar_AE"/>
        </w:rPr>
        <w:t xml:space="preserve">، يُظهر إشعياء أن الله أعلى بلا حدود من أي إله وثن، وسيكون شعبه الدليل على ذلك عندما يُنقذهم من أيدي بابل العاجزة. في </w:t>
      </w:r>
      <w:r>
        <w:rPr>
          <w:lang w:val="ar_AE" w:bidi="ar_AE"/>
        </w:rPr>
        <w:t>الأصحاحات 49–55</w:t>
      </w:r>
      <w:r>
        <w:rPr>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lang w:val="ar_AE" w:bidi="ar_AE"/>
        </w:rPr>
      </w:r>
      <w:r>
        <w:rPr>
          <w:lang w:val="ar_AE" w:bidi="ar_AE"/>
        </w:rPr>
        <w:t xml:space="preserve">يتناول </w:t>
      </w:r>
      <w:r>
        <w:rPr>
          <w:lang w:val="ar_AE" w:bidi="ar_AE"/>
        </w:rPr>
        <w:t>إشعياء 56–66</w:t>
      </w:r>
      <w:r>
        <w:rPr>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lang w:val="ar_AE" w:bidi="ar_AE"/>
        </w:rPr>
        <w:t>الكاتب</w:t>
      </w:r>
    </w:p>
    <w:p>
      <w:pPr>
        <w:bidi/>
      </w:pPr>
      <w:r>
        <w:rPr>
          <w:lang w:val="ar_AE" w:bidi="ar_AE"/>
        </w:rPr>
      </w:r>
      <w:r>
        <w:rPr>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lang w:val="ar_AE" w:bidi="ar_AE"/>
        </w:rPr>
        <w:t>متى 8: 17</w:t>
      </w:r>
      <w:r>
        <w:rPr>
          <w:lang w:val="ar_AE" w:bidi="ar_AE"/>
        </w:rPr>
        <w:t xml:space="preserve">؛ </w:t>
      </w:r>
      <w:r>
        <w:rPr>
          <w:lang w:val="ar_AE" w:bidi="ar_AE"/>
        </w:rPr>
        <w:t>12: 17–21</w:t>
      </w:r>
      <w:r>
        <w:rPr>
          <w:lang w:val="ar_AE" w:bidi="ar_AE"/>
        </w:rPr>
        <w:t xml:space="preserve">؛ </w:t>
      </w:r>
      <w:r>
        <w:rPr>
          <w:lang w:val="ar_AE" w:bidi="ar_AE"/>
        </w:rPr>
        <w:t>لوقا 3: 4–6</w:t>
      </w:r>
      <w:r>
        <w:rPr>
          <w:lang w:val="ar_AE" w:bidi="ar_AE"/>
        </w:rPr>
        <w:t xml:space="preserve">؛ </w:t>
      </w:r>
      <w:r>
        <w:rPr>
          <w:lang w:val="ar_AE" w:bidi="ar_AE"/>
        </w:rPr>
        <w:t>أعمال الرُّسُل 8: 28–35</w:t>
      </w:r>
      <w:r>
        <w:rPr>
          <w:lang w:val="ar_AE" w:bidi="ar_AE"/>
        </w:rPr>
        <w:t xml:space="preserve">؛ </w:t>
      </w:r>
      <w:r>
        <w:rPr>
          <w:lang w:val="ar_AE" w:bidi="ar_AE"/>
        </w:rPr>
        <w:t>رومية 10: 16</w:t>
      </w:r>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يبدو من المرجَّح من المراجع التاريخية في الأصحاحات </w:t>
      </w:r>
      <w:r>
        <w:rPr>
          <w:lang w:val="ar_AE" w:bidi="ar_AE"/>
        </w:rPr>
        <w:t>6–39</w:t>
      </w:r>
      <w:r>
        <w:rPr>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lang w:val="ar_AE" w:bidi="ar_AE"/>
        </w:rPr>
        <w:t>للأصحاحات 40–66</w:t>
      </w:r>
      <w:r>
        <w:rPr>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lang w:val="ar_AE" w:bidi="ar_AE"/>
        </w:rPr>
        <w:t>الأصحاحات 1–39</w:t>
      </w:r>
      <w:r>
        <w:rPr>
          <w:lang w:val="ar_AE" w:bidi="ar_AE"/>
        </w:rPr>
        <w:t xml:space="preserve"> وكتابة الأصحاحات </w:t>
      </w:r>
      <w:r>
        <w:rPr>
          <w:lang w:val="ar_AE" w:bidi="ar_AE"/>
        </w:rPr>
        <w:t>40–66</w:t>
      </w:r>
      <w:r>
        <w:rPr>
          <w:lang w:val="ar_AE" w:bidi="ar_AE"/>
        </w:rPr>
        <w:t>.</w:t>
      </w:r>
    </w:p>
    <w:p>
      <w:pPr>
        <w:pStyle w:val="Heading2"/>
        <w:bidi/>
      </w:pPr>
      <w:r>
        <w:rPr>
          <w:lang w:val="ar_AE" w:bidi="ar_AE"/>
        </w:rPr>
        <w:t>الأنواع الأدبية</w:t>
      </w:r>
    </w:p>
    <w:p>
      <w:pPr>
        <w:bidi/>
      </w:pPr>
      <w:r>
        <w:rPr>
          <w:lang w:val="ar_AE" w:bidi="ar_AE"/>
        </w:rPr>
      </w:r>
      <w:r>
        <w:rPr>
          <w:lang w:val="ar_AE" w:bidi="ar_AE"/>
        </w:rPr>
        <w:t>يتضمن سفر إشعياء مجموعة غنية من الأنواع الأدبية الفرعية:</w:t>
      </w:r>
    </w:p>
    <w:p>
      <w:pPr>
        <w:pStyle w:val="ListBullet"/>
        <w:bidi/>
        <w:spacing w:line="240" w:lineRule="auto"/>
        <w:ind w:left="720"/>
      </w:pPr>
      <w:r>
        <w:rPr>
          <w:lang w:val="ar_AE" w:bidi="ar_AE"/>
        </w:rPr>
      </w:r>
      <w:r>
        <w:rPr>
          <w:lang w:val="ar_AE" w:bidi="ar_AE"/>
        </w:rPr>
        <w:t>خطب الدينونة التي تحذر إسرائيل من أن الله سيعاقبهم على خطاياهم (</w:t>
      </w:r>
      <w:r>
        <w:rPr>
          <w:lang w:val="ar_AE" w:bidi="ar_AE"/>
        </w:rPr>
        <w:t>9: 8–21</w:t>
      </w:r>
      <w:r>
        <w:rPr>
          <w:lang w:val="ar_AE" w:bidi="ar_AE"/>
        </w:rPr>
        <w:t>)؛</w:t>
      </w:r>
    </w:p>
    <w:p>
      <w:pPr>
        <w:pStyle w:val="ListBullet"/>
        <w:bidi/>
        <w:spacing w:line="240" w:lineRule="auto"/>
        <w:ind w:left="720"/>
      </w:pPr>
      <w:r>
        <w:rPr>
          <w:lang w:val="ar_AE" w:bidi="ar_AE"/>
        </w:rPr>
      </w:r>
      <w:r>
        <w:rPr>
          <w:lang w:val="ar_AE" w:bidi="ar_AE"/>
        </w:rPr>
        <w:t>نبوات الويل التي ترثي اقتراب موت الأُمَّة (</w:t>
      </w:r>
      <w:r>
        <w:rPr>
          <w:lang w:val="ar_AE" w:bidi="ar_AE"/>
        </w:rPr>
        <w:t>5: 8–30</w:t>
      </w:r>
      <w:r>
        <w:rPr>
          <w:lang w:val="ar_AE" w:bidi="ar_AE"/>
        </w:rPr>
        <w:t xml:space="preserve">؛ </w:t>
      </w:r>
      <w:r>
        <w:rPr>
          <w:lang w:val="ar_AE" w:bidi="ar_AE"/>
        </w:rPr>
        <w:t>29: 1–12</w:t>
      </w:r>
      <w:r>
        <w:rPr>
          <w:lang w:val="ar_AE" w:bidi="ar_AE"/>
        </w:rPr>
        <w:t xml:space="preserve">؛ </w:t>
      </w:r>
      <w:r>
        <w:rPr>
          <w:lang w:val="ar_AE" w:bidi="ar_AE"/>
        </w:rPr>
        <w:t>31: 1–9</w:t>
      </w:r>
      <w:r>
        <w:rPr>
          <w:lang w:val="ar_AE" w:bidi="ar_AE"/>
        </w:rPr>
        <w:t>)؛</w:t>
      </w:r>
    </w:p>
    <w:p>
      <w:pPr>
        <w:pStyle w:val="ListBullet"/>
        <w:bidi/>
        <w:spacing w:line="240" w:lineRule="auto"/>
        <w:ind w:left="720"/>
      </w:pPr>
      <w:r>
        <w:rPr>
          <w:lang w:val="ar_AE" w:bidi="ar_AE"/>
        </w:rPr>
      </w:r>
      <w:r>
        <w:rPr>
          <w:lang w:val="ar_AE" w:bidi="ar_AE"/>
        </w:rPr>
        <w:t>أمثال تُعلِّم بالاستعارة والمجاز (</w:t>
      </w:r>
      <w:r>
        <w:rPr>
          <w:lang w:val="ar_AE" w:bidi="ar_AE"/>
        </w:rPr>
        <w:t>5: 1–8</w:t>
      </w:r>
      <w:r>
        <w:rPr>
          <w:lang w:val="ar_AE" w:bidi="ar_AE"/>
        </w:rPr>
        <w:t xml:space="preserve">؛ </w:t>
      </w:r>
      <w:r>
        <w:rPr>
          <w:lang w:val="ar_AE" w:bidi="ar_AE"/>
        </w:rPr>
        <w:t>27: 2–6</w:t>
      </w:r>
      <w:r>
        <w:rPr>
          <w:lang w:val="ar_AE" w:bidi="ar_AE"/>
        </w:rPr>
        <w:t>)؛</w:t>
      </w:r>
    </w:p>
    <w:p>
      <w:pPr>
        <w:pStyle w:val="ListBullet"/>
        <w:bidi/>
        <w:spacing w:line="240" w:lineRule="auto"/>
        <w:ind w:left="720"/>
      </w:pPr>
      <w:r>
        <w:rPr>
          <w:lang w:val="ar_AE" w:bidi="ar_AE"/>
        </w:rPr>
      </w:r>
      <w:r>
        <w:rPr>
          <w:lang w:val="ar_AE" w:bidi="ar_AE"/>
        </w:rPr>
        <w:t>مرافعات المحاكمة لإثبات قضية (</w:t>
      </w:r>
      <w:r>
        <w:rPr>
          <w:lang w:val="ar_AE" w:bidi="ar_AE"/>
        </w:rPr>
        <w:t>41: 21–29</w:t>
      </w:r>
      <w:r>
        <w:rPr>
          <w:lang w:val="ar_AE" w:bidi="ar_AE"/>
        </w:rPr>
        <w:t>)؛</w:t>
      </w:r>
    </w:p>
    <w:p>
      <w:pPr>
        <w:pStyle w:val="ListBullet"/>
        <w:bidi/>
        <w:spacing w:line="240" w:lineRule="auto"/>
        <w:ind w:left="720"/>
      </w:pPr>
      <w:r>
        <w:rPr>
          <w:lang w:val="ar_AE" w:bidi="ar_AE"/>
        </w:rPr>
      </w:r>
      <w:r>
        <w:rPr>
          <w:lang w:val="ar_AE" w:bidi="ar_AE"/>
        </w:rPr>
        <w:t>نبوات الخلاص برجاء ترنيمات (</w:t>
      </w:r>
      <w:r>
        <w:rPr>
          <w:lang w:val="ar_AE" w:bidi="ar_AE"/>
        </w:rPr>
        <w:t>2: 1–5</w:t>
      </w:r>
      <w:r>
        <w:rPr>
          <w:lang w:val="ar_AE" w:bidi="ar_AE"/>
        </w:rPr>
        <w:t xml:space="preserve">؛ </w:t>
      </w:r>
      <w:r>
        <w:rPr>
          <w:lang w:val="ar_AE" w:bidi="ar_AE"/>
        </w:rPr>
        <w:t>32: 1–20</w:t>
      </w:r>
      <w:r>
        <w:rPr>
          <w:lang w:val="ar_AE" w:bidi="ar_AE"/>
        </w:rPr>
        <w:t xml:space="preserve">؛ </w:t>
      </w:r>
      <w:r>
        <w:rPr>
          <w:lang w:val="ar_AE" w:bidi="ar_AE"/>
        </w:rPr>
        <w:t>60: 1–22</w:t>
      </w:r>
      <w:r>
        <w:rPr>
          <w:lang w:val="ar_AE" w:bidi="ar_AE"/>
        </w:rPr>
        <w:t>)؛</w:t>
      </w:r>
    </w:p>
    <w:p>
      <w:pPr>
        <w:pStyle w:val="ListBullet"/>
        <w:bidi/>
        <w:spacing w:line="240" w:lineRule="auto"/>
        <w:ind w:left="720"/>
      </w:pPr>
      <w:r>
        <w:rPr>
          <w:lang w:val="ar_AE" w:bidi="ar_AE"/>
        </w:rPr>
      </w:r>
      <w:r>
        <w:rPr>
          <w:lang w:val="ar_AE" w:bidi="ar_AE"/>
        </w:rPr>
        <w:t>تسبيحات عتيدة لله على أمانته (</w:t>
      </w:r>
      <w:r>
        <w:rPr>
          <w:lang w:val="ar_AE" w:bidi="ar_AE"/>
        </w:rPr>
        <w:t>12: 1–6</w:t>
      </w:r>
      <w:r>
        <w:rPr>
          <w:lang w:val="ar_AE" w:bidi="ar_AE"/>
        </w:rPr>
        <w:t xml:space="preserve">؛ </w:t>
      </w:r>
      <w:r>
        <w:rPr>
          <w:lang w:val="ar_AE" w:bidi="ar_AE"/>
        </w:rPr>
        <w:t>26: 1–6</w:t>
      </w:r>
      <w:r>
        <w:rPr>
          <w:lang w:val="ar_AE" w:bidi="ar_AE"/>
        </w:rPr>
        <w:t>)؛</w:t>
      </w:r>
    </w:p>
    <w:p>
      <w:pPr>
        <w:pStyle w:val="ListBullet"/>
        <w:bidi/>
        <w:spacing w:line="240" w:lineRule="auto"/>
        <w:ind w:left="720"/>
      </w:pPr>
      <w:r>
        <w:rPr>
          <w:lang w:val="ar_AE" w:bidi="ar_AE"/>
        </w:rPr>
      </w:r>
      <w:r>
        <w:rPr>
          <w:lang w:val="ar_AE" w:bidi="ar_AE"/>
        </w:rPr>
        <w:t>نبوات ضد الأمم الأجنبية (</w:t>
      </w:r>
      <w:r>
        <w:rPr>
          <w:lang w:val="ar_AE" w:bidi="ar_AE"/>
        </w:rPr>
        <w:t>15: 1–16: 14</w:t>
      </w:r>
      <w:r>
        <w:rPr>
          <w:lang w:val="ar_AE" w:bidi="ar_AE"/>
        </w:rPr>
        <w:t xml:space="preserve">؛ </w:t>
      </w:r>
      <w:r>
        <w:rPr>
          <w:lang w:val="ar_AE" w:bidi="ar_AE"/>
        </w:rPr>
        <w:t>23: 1–18</w:t>
      </w:r>
      <w:r>
        <w:rPr>
          <w:lang w:val="ar_AE" w:bidi="ar_AE"/>
        </w:rPr>
        <w:t>)؛</w:t>
      </w:r>
    </w:p>
    <w:p>
      <w:pPr>
        <w:pStyle w:val="ListBullet"/>
        <w:bidi/>
        <w:spacing w:line="240" w:lineRule="auto"/>
        <w:ind w:left="720"/>
      </w:pPr>
      <w:r>
        <w:rPr>
          <w:lang w:val="ar_AE" w:bidi="ar_AE"/>
        </w:rPr>
      </w:r>
      <w:r>
        <w:rPr>
          <w:lang w:val="ar_AE" w:bidi="ar_AE"/>
        </w:rPr>
        <w:t>نبوات عن ملك آتي، المسيا (</w:t>
      </w:r>
      <w:r>
        <w:rPr>
          <w:lang w:val="ar_AE" w:bidi="ar_AE"/>
        </w:rPr>
        <w:t>9: 1–7</w:t>
      </w:r>
      <w:r>
        <w:rPr>
          <w:lang w:val="ar_AE" w:bidi="ar_AE"/>
        </w:rPr>
        <w:t xml:space="preserve">؛ </w:t>
      </w:r>
      <w:r>
        <w:rPr>
          <w:lang w:val="ar_AE" w:bidi="ar_AE"/>
        </w:rPr>
        <w:t>11: 1–9</w:t>
      </w:r>
      <w:r>
        <w:rPr>
          <w:lang w:val="ar_AE" w:bidi="ar_AE"/>
        </w:rPr>
        <w:t>)؛</w:t>
      </w:r>
    </w:p>
    <w:p>
      <w:pPr>
        <w:pStyle w:val="ListBullet"/>
        <w:bidi/>
        <w:spacing w:line="240" w:lineRule="auto"/>
        <w:ind w:left="720"/>
      </w:pPr>
      <w:r>
        <w:rPr>
          <w:lang w:val="ar_AE" w:bidi="ar_AE"/>
        </w:rPr>
      </w:r>
      <w:r>
        <w:rPr>
          <w:lang w:val="ar_AE" w:bidi="ar_AE"/>
        </w:rPr>
        <w:t>أغاني عبيد عن شخص يتألم من أجل خطايا الآخرين (</w:t>
      </w:r>
      <w:r>
        <w:rPr>
          <w:lang w:val="ar_AE" w:bidi="ar_AE"/>
        </w:rPr>
        <w:t>42: 1–9</w:t>
      </w:r>
      <w:r>
        <w:rPr>
          <w:lang w:val="ar_AE" w:bidi="ar_AE"/>
        </w:rPr>
        <w:t xml:space="preserve">؛ </w:t>
      </w:r>
      <w:r>
        <w:rPr>
          <w:lang w:val="ar_AE" w:bidi="ar_AE"/>
        </w:rPr>
        <w:t>52: 13–53: 12</w:t>
      </w:r>
      <w:r>
        <w:rPr>
          <w:lang w:val="ar_AE" w:bidi="ar_AE"/>
        </w:rPr>
        <w:t>)؛</w:t>
      </w:r>
    </w:p>
    <w:p>
      <w:pPr>
        <w:pStyle w:val="ListBullet"/>
        <w:bidi/>
        <w:spacing w:line="240" w:lineRule="auto"/>
        <w:ind w:left="720"/>
      </w:pPr>
      <w:r>
        <w:rPr>
          <w:lang w:val="ar_AE" w:bidi="ar_AE"/>
        </w:rPr>
      </w:r>
      <w:r>
        <w:rPr>
          <w:lang w:val="ar_AE" w:bidi="ar_AE"/>
        </w:rPr>
        <w:t>سرديات عن أحداث جارية (</w:t>
      </w:r>
      <w:r>
        <w:rPr>
          <w:lang w:val="ar_AE" w:bidi="ar_AE"/>
        </w:rPr>
        <w:t>36: 1–22</w:t>
      </w:r>
      <w:r>
        <w:rPr>
          <w:lang w:val="ar_AE" w:bidi="ar_AE"/>
        </w:rPr>
        <w:t xml:space="preserve">؛ </w:t>
      </w:r>
      <w:r>
        <w:rPr>
          <w:lang w:val="ar_AE" w:bidi="ar_AE"/>
        </w:rPr>
        <w:t>39: 1–8</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lang w:val="ar_AE" w:bidi="ar_AE"/>
        </w:rPr>
        <w:t>والمتعالي</w:t>
      </w:r>
      <w:r>
        <w:rPr>
          <w:lang w:val="ar_AE" w:bidi="ar_AE"/>
        </w:rPr>
        <w:t xml:space="preserve"> (فوق إدراكنا). مع ذلك، يُعلن الله القدوس والمتعالي عن نفسه ويرغب في أن يكون </w:t>
      </w:r>
      <w:r>
        <w:rPr>
          <w:i/>
          <w:lang w:val="ar_AE" w:bidi="ar_AE"/>
        </w:rPr>
        <w:t>عمانوئيل</w:t>
      </w:r>
      <w:r>
        <w:rPr>
          <w:lang w:val="ar_AE" w:bidi="ar_AE"/>
        </w:rPr>
        <w:t xml:space="preserve"> ("الله معنا،" </w:t>
      </w:r>
      <w:r>
        <w:rPr>
          <w:lang w:val="ar_AE" w:bidi="ar_AE"/>
        </w:rPr>
        <w:t>7: 14</w:t>
      </w:r>
      <w:r>
        <w:rPr>
          <w:lang w:val="ar_AE" w:bidi="ar_AE"/>
        </w:rPr>
        <w:t xml:space="preserve">). لذلك، الإله المتعالي هو أيضًا إله </w:t>
      </w:r>
      <w:r>
        <w:rPr>
          <w:i/>
          <w:lang w:val="ar_AE" w:bidi="ar_AE"/>
        </w:rPr>
        <w:t>حال</w:t>
      </w:r>
      <w:r>
        <w:rPr>
          <w:lang w:val="ar_AE" w:bidi="ar_AE"/>
        </w:rPr>
        <w:t xml:space="preserve"> (قريب). يُهيِّئ اقتراب الله قراء إشعياء لقبول الله </w:t>
      </w:r>
      <w:r>
        <w:rPr>
          <w:i/>
          <w:lang w:val="ar_AE" w:bidi="ar_AE"/>
        </w:rPr>
        <w:t>المتأنس</w:t>
      </w:r>
      <w:r>
        <w:rPr>
          <w:lang w:val="ar_AE" w:bidi="ar_AE"/>
        </w:rPr>
        <w:t xml:space="preserve"> (في الجسد)، يسوع المسيح، الذي هو حقًا عمانوئيل (انظر </w:t>
      </w:r>
      <w:r>
        <w:rPr>
          <w:lang w:val="ar_AE" w:bidi="ar_AE"/>
        </w:rPr>
        <w:t>متى 1: 21–23</w:t>
      </w:r>
      <w:r>
        <w:rPr>
          <w:lang w:val="ar_AE" w:bidi="ar_AE"/>
        </w:rPr>
        <w:t>).</w:t>
      </w:r>
    </w:p>
    <w:p>
      <w:pPr>
        <w:bidi/>
      </w:pPr>
      <w:r>
        <w:rPr>
          <w:lang w:val="ar_AE" w:bidi="ar_AE"/>
        </w:rPr>
      </w:r>
      <w:r>
        <w:rPr>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lang w:val="ar_AE" w:bidi="ar_AE"/>
        </w:rPr>
      </w:r>
      <w:r>
        <w:rPr>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lang w:val="ar_AE" w:bidi="ar_AE"/>
        </w:rPr>
      </w:r>
      <w:r>
        <w:rPr>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