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تقعُ مدينةُ كُولُوسِّي على بُعْدِ 120 ميلاً تقريبًا (193 كيلومترًا) شَرْقَ مدينةِ أَفَسُس، في إقليم آسِيَّا الرُّوماني أيْ (تركيا المعاصرة اليوم).</w:t>
      </w:r>
    </w:p>
    <w:p>
      <w:pPr>
        <w:bidi/>
      </w:pPr>
      <w:r>
        <w:rPr>
          <w:lang w:val="ar_AE" w:bidi="ar_AE"/>
        </w:rPr>
      </w:r>
      <w:r>
        <w:rPr>
          <w:lang w:val="ar_AE" w:bidi="ar_AE"/>
        </w:rPr>
        <w:t xml:space="preserve">يُشيرُ الرَّسُول بُولُس إلى أَبَفْرَاسَ بوصفه الخادِمَ الذي حَمَلَ بشارة الإنجيل لأَوَّلِ مَرَّةً إلى أهل كُولُوسِّي </w:t>
      </w:r>
      <w:r>
        <w:rPr>
          <w:lang w:val="ar_AE" w:bidi="ar_AE"/>
        </w:rPr>
        <w:t>(</w:t>
      </w:r>
      <w:hyperlink r:id="rId13">
        <w:r>
          <w:rPr>
            <w:lang w:val="ar_AE" w:bidi="ar_AE"/>
          </w:rPr>
          <w:rPr>
            <w:color w:val="0000EE"/>
            <w:u w:val="single"/>
          </w:rPr>
          <w:t>1:7</w:t>
        </w:r>
      </w:hyperlink>
      <w:r>
        <w:rPr>
          <w:lang w:val="ar_AE" w:bidi="ar_AE"/>
        </w:rPr>
        <w:t xml:space="preserve">). </w:t>
      </w:r>
      <w:r>
        <w:rPr>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lang w:val="ar_AE" w:bidi="ar_AE"/>
        </w:rPr>
        <w:t>(</w:t>
      </w:r>
      <w:hyperlink r:id="rId14">
        <w:r>
          <w:rPr>
            <w:lang w:val="ar_AE" w:bidi="ar_AE"/>
          </w:rPr>
          <w:rPr>
            <w:color w:val="0000EE"/>
            <w:u w:val="single"/>
          </w:rPr>
          <w:t>أَعْمَال الرُّسُل 19:10</w:t>
        </w:r>
      </w:hyperlink>
      <w:r>
        <w:rPr>
          <w:lang w:val="ar_AE" w:bidi="ar_AE"/>
        </w:rPr>
        <w:t xml:space="preserve">). </w:t>
      </w:r>
      <w:r>
        <w:rPr>
          <w:lang w:val="ar_AE" w:bidi="ar_AE"/>
        </w:rPr>
        <w:t>ومع أن الرَّسُول بُولُس لم يَزُرْ بذاتِهِ مدينةَ كُولُوسِّي</w:t>
      </w:r>
      <w:r>
        <w:rPr>
          <w:lang w:val="ar_AE" w:bidi="ar_AE"/>
        </w:rPr>
        <w:t xml:space="preserve"> (</w:t>
      </w:r>
      <w:hyperlink r:id="rId15">
        <w:r>
          <w:rPr>
            <w:lang w:val="ar_AE" w:bidi="ar_AE"/>
          </w:rPr>
          <w:rPr>
            <w:color w:val="0000EE"/>
            <w:u w:val="single"/>
          </w:rPr>
          <w:t>2:1</w:t>
        </w:r>
      </w:hyperlink>
      <w:r>
        <w:rPr>
          <w:lang w:val="ar_AE" w:bidi="ar_AE"/>
        </w:rPr>
        <w:t xml:space="preserve">)، </w:t>
      </w:r>
      <w:r>
        <w:rPr>
          <w:lang w:val="ar_AE" w:bidi="ar_AE"/>
        </w:rPr>
        <w:t>كان هو "الأَبُ" الرُّوحِيُّ لأَبَفْرَاس، وبالتالي هو "الجَدُّ" الرُّوحيُّ لمؤمِنِي الكنيسةِ في كُولُوسِّي. لذلك كَتَبَ إليهم بسلطانٍ رَسُوليٍّ وعنايةٍ شخصيَّةٍ</w:t>
      </w:r>
      <w:r>
        <w:rPr>
          <w:lang w:val="ar_AE" w:bidi="ar_AE"/>
        </w:rPr>
        <w:t>.</w:t>
      </w:r>
    </w:p>
    <w:p>
      <w:pPr>
        <w:bidi/>
      </w:pPr>
      <w:r>
        <w:rPr>
          <w:lang w:val="ar_AE" w:bidi="ar_AE"/>
        </w:rPr>
      </w:r>
      <w:r>
        <w:rPr>
          <w:lang w:val="ar_AE" w:bidi="ar_AE"/>
        </w:rPr>
        <w:t>عندما كُتِبَتْ الرِّسَالَةُ إلى كُولُوسِّي، كان أَبَفْرَاسَ يزورُ الرَّسُول بُولُس في السِّجْنِ</w:t>
      </w:r>
      <w:r>
        <w:rPr>
          <w:lang w:val="ar_AE" w:bidi="ar_AE"/>
        </w:rPr>
        <w:t xml:space="preserve"> (</w:t>
      </w:r>
      <w:hyperlink r:id="rId16">
        <w:r>
          <w:rPr>
            <w:lang w:val="ar_AE" w:bidi="ar_AE"/>
          </w:rPr>
          <w:rPr>
            <w:color w:val="0000EE"/>
            <w:u w:val="single"/>
          </w:rPr>
          <w:t>4:12</w:t>
        </w:r>
      </w:hyperlink>
      <w:r>
        <w:rPr>
          <w:lang w:val="ar_AE" w:bidi="ar_AE"/>
        </w:rPr>
        <w:t xml:space="preserve">). </w:t>
      </w:r>
      <w:r>
        <w:rPr>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lang w:val="ar_AE" w:bidi="ar_AE"/>
        </w:rPr>
        <w:t xml:space="preserve"> (</w:t>
      </w:r>
      <w:hyperlink r:id="rId17">
        <w:r>
          <w:rPr>
            <w:lang w:val="ar_AE" w:bidi="ar_AE"/>
          </w:rPr>
          <w:rPr>
            <w:color w:val="0000EE"/>
            <w:u w:val="single"/>
          </w:rPr>
          <w:t>2:15</w:t>
        </w:r>
      </w:hyperlink>
      <w:r>
        <w:rPr>
          <w:lang w:val="ar_AE" w:bidi="ar_AE"/>
        </w:rPr>
        <w:t>) و"</w:t>
      </w:r>
      <w:r>
        <w:rPr>
          <w:lang w:val="ar_AE" w:bidi="ar_AE"/>
        </w:rPr>
        <w:t>أَرْكَانِ العَالَمِ</w:t>
      </w:r>
      <w:r>
        <w:rPr>
          <w:lang w:val="ar_AE" w:bidi="ar_AE"/>
        </w:rPr>
        <w:t>" (</w:t>
      </w:r>
      <w:hyperlink r:id="rId18">
        <w:r>
          <w:rPr>
            <w:lang w:val="ar_AE" w:bidi="ar_AE"/>
          </w:rPr>
          <w:rPr>
            <w:color w:val="0000EE"/>
            <w:u w:val="single"/>
          </w:rPr>
          <w:t>2:8</w:t>
        </w:r>
      </w:hyperlink>
      <w:r>
        <w:rPr>
          <w:lang w:val="ar_AE" w:bidi="ar_AE"/>
        </w:rPr>
        <w:t xml:space="preserve">، </w:t>
      </w:r>
      <w:hyperlink r:id="rId19">
        <w:r>
          <w:rPr>
            <w:lang w:val="ar_AE" w:bidi="ar_AE"/>
          </w:rPr>
          <w:rPr>
            <w:color w:val="0000EE"/>
            <w:u w:val="single"/>
          </w:rPr>
          <w:t>20</w:t>
        </w:r>
      </w:hyperlink>
      <w:r>
        <w:rPr>
          <w:lang w:val="ar_AE" w:bidi="ar_AE"/>
        </w:rPr>
        <w:t xml:space="preserve">)، </w:t>
      </w:r>
      <w:r>
        <w:rPr>
          <w:lang w:val="ar_AE" w:bidi="ar_AE"/>
        </w:rPr>
        <w:t>الأمر الذي من شأنه الحطِّ من مكانةِ المَسِيحِ. فَكَتَبَ الرَّسُول بُولُس لمعالجةِ هذه القضايا</w:t>
      </w:r>
      <w:r>
        <w:rPr>
          <w:lang w:val="ar_AE" w:bidi="ar_AE"/>
        </w:rPr>
        <w:t>.</w:t>
      </w:r>
    </w:p>
    <w:p>
      <w:pPr>
        <w:pStyle w:val="Heading4"/>
        <w:bidi/>
      </w:pPr>
      <w:r>
        <w:rPr>
          <w:b/>
          <w:lang w:val="ar_AE" w:bidi="ar_AE"/>
        </w:rPr>
        <w:t>مُوجَزُ الرِّسَالَةِ</w:t>
      </w:r>
    </w:p>
    <w:p>
      <w:pPr>
        <w:bidi/>
      </w:pPr>
      <w:r>
        <w:rPr>
          <w:lang w:val="ar_AE" w:bidi="ar_AE"/>
        </w:rPr>
      </w:r>
      <w:r>
        <w:rPr>
          <w:lang w:val="ar_AE" w:bidi="ar_AE"/>
        </w:rPr>
        <w:t>تنقسم الرِّسَالَةُ إلى مؤمني كُولُوسِّي إلى جُزئَيْن، الأول في</w:t>
      </w:r>
      <w:r>
        <w:rPr>
          <w:lang w:val="ar_AE" w:bidi="ar_AE"/>
        </w:rPr>
        <w:t xml:space="preserve"> </w:t>
      </w:r>
      <w:hyperlink r:id="rId20">
        <w:r>
          <w:rPr>
            <w:lang w:val="ar_AE" w:bidi="ar_AE"/>
          </w:rPr>
          <w:rPr>
            <w:color w:val="0000EE"/>
            <w:u w:val="single"/>
          </w:rPr>
          <w:t>الفصول 1–2</w:t>
        </w:r>
      </w:hyperlink>
      <w:r>
        <w:rPr>
          <w:lang w:val="ar_AE" w:bidi="ar_AE"/>
        </w:rPr>
        <w:t xml:space="preserve">، ويُرَكِّز على اللاهوت، والثاني في </w:t>
      </w:r>
      <w:hyperlink r:id="rId21">
        <w:r>
          <w:rPr>
            <w:lang w:val="ar_AE" w:bidi="ar_AE"/>
          </w:rPr>
          <w:rPr>
            <w:color w:val="0000EE"/>
            <w:u w:val="single"/>
          </w:rPr>
          <w:t>الفصول 3–4</w:t>
        </w:r>
      </w:hyperlink>
      <w:r>
        <w:rPr>
          <w:lang w:val="ar_AE" w:bidi="ar_AE"/>
        </w:rPr>
        <w:t xml:space="preserve">، </w:t>
      </w:r>
      <w:r>
        <w:rPr>
          <w:lang w:val="ar_AE" w:bidi="ar_AE"/>
        </w:rPr>
        <w:t>ويُرَكِّز على الأمورِ العَمَلِيَّةِ</w:t>
      </w:r>
      <w:r>
        <w:rPr>
          <w:lang w:val="ar_AE" w:bidi="ar_AE"/>
        </w:rPr>
        <w:t>.</w:t>
      </w:r>
    </w:p>
    <w:p>
      <w:pPr>
        <w:bidi/>
      </w:pPr>
      <w:r>
        <w:rPr>
          <w:lang w:val="ar_AE" w:bidi="ar_AE"/>
        </w:rPr>
      </w:r>
      <w:r>
        <w:rPr>
          <w:lang w:val="ar_AE" w:bidi="ar_AE"/>
        </w:rPr>
        <w:t>تحيَّاتُ الرَّسُول بُولُس، الواردة في</w:t>
      </w:r>
      <w:r>
        <w:rPr>
          <w:lang w:val="ar_AE" w:bidi="ar_AE"/>
        </w:rPr>
        <w:t xml:space="preserve"> (</w:t>
      </w:r>
      <w:hyperlink r:id="rId22">
        <w:r>
          <w:rPr>
            <w:lang w:val="ar_AE" w:bidi="ar_AE"/>
          </w:rPr>
          <w:rPr>
            <w:color w:val="0000EE"/>
            <w:u w:val="single"/>
          </w:rPr>
          <w:t>1:1–2</w:t>
        </w:r>
      </w:hyperlink>
      <w:r>
        <w:rPr>
          <w:lang w:val="ar_AE" w:bidi="ar_AE"/>
        </w:rPr>
        <w:t>)، يليها قِسْمُ للشُّكْرِ (</w:t>
      </w:r>
      <w:hyperlink r:id="rId23">
        <w:r>
          <w:rPr>
            <w:lang w:val="ar_AE" w:bidi="ar_AE"/>
          </w:rPr>
          <w:rPr>
            <w:color w:val="0000EE"/>
            <w:u w:val="single"/>
          </w:rPr>
          <w:t>1:3–14</w:t>
        </w:r>
      </w:hyperlink>
      <w:r>
        <w:rPr>
          <w:lang w:val="ar_AE" w:bidi="ar_AE"/>
        </w:rPr>
        <w:t>)، و</w:t>
      </w:r>
      <w:r>
        <w:rPr>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lang w:val="ar_AE" w:bidi="ar_AE"/>
        </w:rPr>
        <w:t>(</w:t>
      </w:r>
      <w:hyperlink r:id="rId24">
        <w:r>
          <w:rPr>
            <w:lang w:val="ar_AE" w:bidi="ar_AE"/>
          </w:rPr>
          <w:rPr>
            <w:color w:val="0000EE"/>
            <w:u w:val="single"/>
          </w:rPr>
          <w:t>1:15–20</w:t>
        </w:r>
      </w:hyperlink>
      <w:r>
        <w:rPr>
          <w:lang w:val="ar_AE" w:bidi="ar_AE"/>
        </w:rPr>
        <w:t xml:space="preserve">)، </w:t>
      </w:r>
      <w:r>
        <w:rPr>
          <w:lang w:val="ar_AE" w:bidi="ar_AE"/>
        </w:rPr>
        <w:t>ثم يُقَدِّم تطبيقًا عَمَلِيًّا</w:t>
      </w:r>
      <w:r>
        <w:rPr>
          <w:lang w:val="ar_AE" w:bidi="ar_AE"/>
        </w:rPr>
        <w:t xml:space="preserve"> (</w:t>
      </w:r>
      <w:hyperlink r:id="rId25">
        <w:r>
          <w:rPr>
            <w:lang w:val="ar_AE" w:bidi="ar_AE"/>
          </w:rPr>
          <w:rPr>
            <w:color w:val="0000EE"/>
            <w:u w:val="single"/>
          </w:rPr>
          <w:t>1:21–23</w:t>
        </w:r>
      </w:hyperlink>
      <w:r>
        <w:rPr>
          <w:lang w:val="ar_AE" w:bidi="ar_AE"/>
        </w:rPr>
        <w:t xml:space="preserve">) </w:t>
      </w:r>
      <w:r>
        <w:rPr>
          <w:lang w:val="ar_AE" w:bidi="ar_AE"/>
        </w:rPr>
        <w:t>قبل الحديثِ عن خِدْمَتِهِ كَرَسُولٍ للأمَمِ</w:t>
      </w:r>
      <w:r>
        <w:rPr>
          <w:lang w:val="ar_AE" w:bidi="ar_AE"/>
        </w:rPr>
        <w:t xml:space="preserve"> (</w:t>
      </w:r>
      <w:hyperlink r:id="rId26">
        <w:r>
          <w:rPr>
            <w:lang w:val="ar_AE" w:bidi="ar_AE"/>
          </w:rPr>
          <w:rPr>
            <w:color w:val="0000EE"/>
            <w:u w:val="single"/>
          </w:rPr>
          <w:t>1:24–2:5</w:t>
        </w:r>
      </w:hyperlink>
      <w:r>
        <w:rPr>
          <w:lang w:val="ar_AE" w:bidi="ar_AE"/>
        </w:rPr>
        <w:t xml:space="preserve">). </w:t>
      </w:r>
      <w:r>
        <w:rPr>
          <w:lang w:val="ar_AE" w:bidi="ar_AE"/>
        </w:rPr>
        <w:t>ثم يعودُ إلى فِكْرَتِهِ الرئيسَةِ، مناشدًا مؤمني الكنيسة في كُولُوسِّي بالحفاظِ على ولائِهم للمَسِيحِ يَسوع، الذي يَهَبُ لهم الحياةَ الرُّوحِيَّة</w:t>
      </w:r>
      <w:r>
        <w:rPr>
          <w:lang w:val="ar_AE" w:bidi="ar_AE"/>
        </w:rPr>
        <w:t xml:space="preserve"> (</w:t>
      </w:r>
      <w:hyperlink r:id="rId27">
        <w:r>
          <w:rPr>
            <w:lang w:val="ar_AE" w:bidi="ar_AE"/>
          </w:rPr>
          <w:rPr>
            <w:color w:val="0000EE"/>
            <w:u w:val="single"/>
          </w:rPr>
          <w:t>2:6–15</w:t>
        </w:r>
      </w:hyperlink>
      <w:r>
        <w:rPr>
          <w:lang w:val="ar_AE" w:bidi="ar_AE"/>
        </w:rPr>
        <w:t xml:space="preserve">). </w:t>
      </w:r>
      <w:r>
        <w:rPr>
          <w:lang w:val="ar_AE" w:bidi="ar_AE"/>
        </w:rPr>
        <w:t xml:space="preserve">يَنْتَهِي الجزءُ اللاهوتي من الرِّسَالَةِ بتحذِيرٍ من الانشغال ببعضِ المبادِئِ غير المسيحيةِ كوسيلَةٍ لبلوغِ الكَمَالِ الرُّوحِيِّ </w:t>
      </w:r>
      <w:r>
        <w:rPr>
          <w:lang w:val="ar_AE" w:bidi="ar_AE"/>
        </w:rPr>
        <w:t>(</w:t>
      </w:r>
      <w:hyperlink r:id="rId28">
        <w:r>
          <w:rPr>
            <w:lang w:val="ar_AE" w:bidi="ar_AE"/>
          </w:rPr>
          <w:rPr>
            <w:color w:val="0000EE"/>
            <w:u w:val="single"/>
          </w:rPr>
          <w:t>2:16–23</w:t>
        </w:r>
      </w:hyperlink>
      <w:r>
        <w:rPr>
          <w:lang w:val="ar_AE" w:bidi="ar_AE"/>
        </w:rPr>
        <w:t>).</w:t>
      </w:r>
    </w:p>
    <w:p>
      <w:pPr>
        <w:bidi/>
      </w:pPr>
      <w:r>
        <w:rPr>
          <w:lang w:val="ar_AE" w:bidi="ar_AE"/>
        </w:rPr>
      </w:r>
      <w:r>
        <w:rPr>
          <w:lang w:val="ar_AE" w:bidi="ar_AE"/>
        </w:rPr>
        <w:t>يأتي الجزءُ العَمَلِيُّ من الرِّسَالَةِ في</w:t>
      </w:r>
      <w:r>
        <w:rPr>
          <w:lang w:val="ar_AE" w:bidi="ar_AE"/>
        </w:rPr>
        <w:t xml:space="preserve"> (</w:t>
      </w:r>
      <w:hyperlink r:id="rId21">
        <w:r>
          <w:rPr>
            <w:lang w:val="ar_AE" w:bidi="ar_AE"/>
          </w:rPr>
          <w:rPr>
            <w:color w:val="0000EE"/>
            <w:u w:val="single"/>
          </w:rPr>
          <w:t>الفصول 3–4</w:t>
        </w:r>
      </w:hyperlink>
      <w:r>
        <w:rPr>
          <w:lang w:val="ar_AE" w:bidi="ar_AE"/>
        </w:rPr>
        <w:t>)</w:t>
      </w:r>
      <w:r>
        <w:rPr>
          <w:lang w:val="ar_AE" w:bidi="ar_AE"/>
        </w:rPr>
        <w:t>، ويبدأ بدعوةٍ عامَّةٍ للابتعادِ عن الخطيةِ وقَبولِ الحياةِ الجديدةِ في المَسيحِ</w:t>
      </w:r>
      <w:r>
        <w:rPr>
          <w:lang w:val="ar_AE" w:bidi="ar_AE"/>
        </w:rPr>
        <w:t xml:space="preserve"> (</w:t>
      </w:r>
      <w:hyperlink r:id="rId29">
        <w:r>
          <w:rPr>
            <w:lang w:val="ar_AE" w:bidi="ar_AE"/>
          </w:rPr>
          <w:rPr>
            <w:color w:val="0000EE"/>
            <w:u w:val="single"/>
          </w:rPr>
          <w:t>3:1–11</w:t>
        </w:r>
      </w:hyperlink>
      <w:r>
        <w:rPr>
          <w:lang w:val="ar_AE" w:bidi="ar_AE"/>
        </w:rPr>
        <w:t xml:space="preserve">). </w:t>
      </w:r>
      <w:r>
        <w:rPr>
          <w:lang w:val="ar_AE" w:bidi="ar_AE"/>
        </w:rPr>
        <w:t>بعد هذه الدعوةِ، يُواصلُ الرَّسُول بُولُس تقديم وصاياه من أجلِ المجتمعِ المسيحيِّ</w:t>
      </w:r>
      <w:r>
        <w:rPr>
          <w:lang w:val="ar_AE" w:bidi="ar_AE"/>
        </w:rPr>
        <w:t xml:space="preserve"> (</w:t>
      </w:r>
      <w:hyperlink r:id="rId30">
        <w:r>
          <w:rPr>
            <w:lang w:val="ar_AE" w:bidi="ar_AE"/>
          </w:rPr>
          <w:rPr>
            <w:color w:val="0000EE"/>
            <w:u w:val="single"/>
          </w:rPr>
          <w:t>3:12–17</w:t>
        </w:r>
      </w:hyperlink>
      <w:r>
        <w:rPr>
          <w:lang w:val="ar_AE" w:bidi="ar_AE"/>
        </w:rPr>
        <w:t xml:space="preserve">) </w:t>
      </w:r>
      <w:r>
        <w:rPr>
          <w:lang w:val="ar_AE" w:bidi="ar_AE"/>
        </w:rPr>
        <w:t>والحياةِ الأُسَرِيَّةِ</w:t>
      </w:r>
      <w:r>
        <w:rPr>
          <w:lang w:val="ar_AE" w:bidi="ar_AE"/>
        </w:rPr>
        <w:t xml:space="preserve"> (</w:t>
      </w:r>
      <w:hyperlink r:id="rId31">
        <w:r>
          <w:rPr>
            <w:lang w:val="ar_AE" w:bidi="ar_AE"/>
          </w:rPr>
          <w:rPr>
            <w:color w:val="0000EE"/>
            <w:u w:val="single"/>
          </w:rPr>
          <w:t>3:18–4:1</w:t>
        </w:r>
      </w:hyperlink>
      <w:r>
        <w:rPr>
          <w:lang w:val="ar_AE" w:bidi="ar_AE"/>
        </w:rPr>
        <w:t xml:space="preserve">). </w:t>
      </w:r>
      <w:r>
        <w:rPr>
          <w:lang w:val="ar_AE" w:bidi="ar_AE"/>
        </w:rPr>
        <w:t>تنتهي الرِّسَالَةُ بالحَثِّ على الصَّلاةِ</w:t>
      </w:r>
      <w:r>
        <w:rPr>
          <w:lang w:val="ar_AE" w:bidi="ar_AE"/>
        </w:rPr>
        <w:t xml:space="preserve"> (</w:t>
      </w:r>
      <w:hyperlink r:id="rId32">
        <w:r>
          <w:rPr>
            <w:lang w:val="ar_AE" w:bidi="ar_AE"/>
          </w:rPr>
          <w:rPr>
            <w:color w:val="0000EE"/>
            <w:u w:val="single"/>
          </w:rPr>
          <w:t>4:2–6</w:t>
        </w:r>
      </w:hyperlink>
      <w:r>
        <w:rPr>
          <w:lang w:val="ar_AE" w:bidi="ar_AE"/>
        </w:rPr>
        <w:t xml:space="preserve">) </w:t>
      </w:r>
      <w:r>
        <w:rPr>
          <w:lang w:val="ar_AE" w:bidi="ar_AE"/>
        </w:rPr>
        <w:t>مع بعضِ التعليقاتِ على رفقاءِ الخدمةِ، وبعضِ المسيحيين الآخرين</w:t>
      </w:r>
      <w:r>
        <w:rPr>
          <w:lang w:val="ar_AE" w:bidi="ar_AE"/>
        </w:rPr>
        <w:t xml:space="preserve"> (</w:t>
      </w:r>
      <w:hyperlink r:id="rId33">
        <w:r>
          <w:rPr>
            <w:lang w:val="ar_AE" w:bidi="ar_AE"/>
          </w:rPr>
          <w:rPr>
            <w:color w:val="0000EE"/>
            <w:u w:val="single"/>
          </w:rPr>
          <w:t>4:7–18</w:t>
        </w:r>
      </w:hyperlink>
      <w:r>
        <w:rPr>
          <w:lang w:val="ar_AE" w:bidi="ar_AE"/>
        </w:rPr>
        <w:t>).</w:t>
      </w:r>
    </w:p>
    <w:p>
      <w:pPr>
        <w:pStyle w:val="Heading4"/>
        <w:bidi/>
      </w:pPr>
      <w:r>
        <w:rPr>
          <w:b/>
          <w:lang w:val="ar_AE" w:bidi="ar_AE"/>
        </w:rPr>
        <w:t>تَارِيخُ وأَسْبابُ الرِّسَالَةِ</w:t>
      </w:r>
    </w:p>
    <w:p>
      <w:pPr>
        <w:bidi/>
      </w:pPr>
      <w:r>
        <w:rPr>
          <w:lang w:val="ar_AE" w:bidi="ar_AE"/>
        </w:rPr>
      </w:r>
      <w:r>
        <w:rPr>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lang w:val="ar_AE" w:bidi="ar_AE"/>
        </w:rPr>
        <w:t xml:space="preserve"> </w:t>
      </w:r>
      <w:hyperlink r:id="rId34">
        <w:r>
          <w:rPr>
            <w:lang w:val="ar_AE" w:bidi="ar_AE"/>
          </w:rPr>
          <w:rPr>
            <w:color w:val="0000EE"/>
            <w:u w:val="single"/>
          </w:rPr>
          <w:t>4:18</w:t>
        </w:r>
      </w:hyperlink>
      <w:r>
        <w:rPr>
          <w:lang w:val="ar_AE" w:bidi="ar_AE"/>
        </w:rPr>
        <w:t xml:space="preserve">). </w:t>
      </w:r>
      <w:r>
        <w:rPr>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lang w:val="ar_AE" w:bidi="ar_AE"/>
        </w:rPr>
        <w:t xml:space="preserve"> </w:t>
      </w:r>
      <w:r>
        <w:rPr>
          <w:lang w:val="ar_AE" w:bidi="ar_AE"/>
        </w:rPr>
        <w:t>مُقَدِّمَةَ الرِّسَالَة إلى أَفَسُس، "تَارِيخُ الرِّسَالَةِ وَمَوضِعُ كِتَابَتِها"</w:t>
      </w:r>
      <w:r>
        <w:rPr>
          <w:lang w:val="ar_AE" w:bidi="ar_AE"/>
        </w:rPr>
        <w:t xml:space="preserve">). </w:t>
      </w:r>
      <w:r>
        <w:rPr>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lang w:val="ar_AE" w:bidi="ar_AE"/>
        </w:rPr>
        <w:t>.</w:t>
      </w:r>
    </w:p>
    <w:p>
      <w:pPr>
        <w:bidi/>
      </w:pPr>
      <w:r>
        <w:rPr>
          <w:lang w:val="ar_AE" w:bidi="ar_AE"/>
        </w:rPr>
      </w:r>
      <w:r>
        <w:rPr>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lang w:val="ar_AE" w:bidi="ar_AE"/>
        </w:rPr>
        <w:t xml:space="preserve"> (</w:t>
      </w:r>
      <w:hyperlink r:id="rId35">
        <w:r>
          <w:rPr>
            <w:lang w:val="ar_AE" w:bidi="ar_AE"/>
          </w:rPr>
          <w:rPr>
            <w:color w:val="0000EE"/>
            <w:u w:val="single"/>
          </w:rPr>
          <w:t>4:9</w:t>
        </w:r>
      </w:hyperlink>
      <w:r>
        <w:rPr>
          <w:lang w:val="ar_AE" w:bidi="ar_AE"/>
        </w:rPr>
        <w:t>). و</w:t>
      </w:r>
      <w:r>
        <w:rPr>
          <w:lang w:val="ar_AE" w:bidi="ar_AE"/>
        </w:rPr>
        <w:t>في كلِّ من الرِّسالتَيْن إلى كُولُوسِّي</w:t>
      </w:r>
      <w:r>
        <w:rPr>
          <w:lang w:val="ar_AE" w:bidi="ar_AE"/>
        </w:rPr>
        <w:t xml:space="preserve"> (</w:t>
      </w:r>
      <w:hyperlink r:id="rId36">
        <w:r>
          <w:rPr>
            <w:lang w:val="ar_AE" w:bidi="ar_AE"/>
          </w:rPr>
          <w:rPr>
            <w:color w:val="0000EE"/>
            <w:u w:val="single"/>
          </w:rPr>
          <w:t>4:7</w:t>
        </w:r>
      </w:hyperlink>
      <w:r>
        <w:rPr>
          <w:lang w:val="ar_AE" w:bidi="ar_AE"/>
        </w:rPr>
        <w:t>)</w:t>
      </w:r>
      <w:r>
        <w:rPr>
          <w:lang w:val="ar_AE" w:bidi="ar_AE"/>
        </w:rPr>
        <w:t>، وإلى أَفَسُس</w:t>
      </w:r>
      <w:r>
        <w:rPr>
          <w:lang w:val="ar_AE" w:bidi="ar_AE"/>
        </w:rPr>
        <w:t xml:space="preserve"> (</w:t>
      </w:r>
      <w:hyperlink r:id="rId37">
        <w:r>
          <w:rPr>
            <w:lang w:val="ar_AE" w:bidi="ar_AE"/>
          </w:rPr>
          <w:rPr>
            <w:color w:val="0000EE"/>
            <w:u w:val="single"/>
          </w:rPr>
          <w:t>أَفَسُس 6:21</w:t>
        </w:r>
      </w:hyperlink>
      <w:r>
        <w:rPr>
          <w:lang w:val="ar_AE" w:bidi="ar_AE"/>
        </w:rPr>
        <w:t>)</w:t>
      </w:r>
      <w:r>
        <w:rPr>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lang w:val="ar_AE" w:bidi="ar_AE"/>
        </w:rPr>
        <w:t>.</w:t>
      </w:r>
    </w:p>
    <w:p>
      <w:pPr>
        <w:pStyle w:val="Heading4"/>
        <w:bidi/>
      </w:pPr>
      <w:r>
        <w:rPr>
          <w:b/>
          <w:lang w:val="ar_AE" w:bidi="ar_AE"/>
        </w:rPr>
        <w:t>التَّعَالِيمُ الكَاذِبَةُ</w:t>
      </w:r>
    </w:p>
    <w:p>
      <w:pPr>
        <w:bidi/>
      </w:pPr>
      <w:r>
        <w:rPr>
          <w:lang w:val="ar_AE" w:bidi="ar_AE"/>
        </w:rPr>
      </w:r>
      <w:r>
        <w:rPr>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lang w:val="ar_AE" w:bidi="ar_AE"/>
        </w:rPr>
        <w:t>(</w:t>
      </w:r>
      <w:hyperlink r:id="rId38">
        <w:r>
          <w:rPr>
            <w:lang w:val="ar_AE" w:bidi="ar_AE"/>
          </w:rPr>
          <w:rPr>
            <w:color w:val="0000EE"/>
            <w:u w:val="single"/>
          </w:rPr>
          <w:t>2:16</w:t>
        </w:r>
      </w:hyperlink>
      <w:r>
        <w:rPr>
          <w:lang w:val="ar_AE" w:bidi="ar_AE"/>
        </w:rPr>
        <w:t xml:space="preserve">)، </w:t>
      </w:r>
      <w:r>
        <w:rPr>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lang w:val="ar_AE" w:bidi="ar_AE"/>
        </w:rPr>
        <w:t>(</w:t>
      </w:r>
      <w:hyperlink r:id="rId39">
        <w:r>
          <w:rPr>
            <w:lang w:val="ar_AE" w:bidi="ar_AE"/>
          </w:rPr>
          <w:rPr>
            <w:color w:val="0000EE"/>
            <w:u w:val="single"/>
          </w:rPr>
          <w:t>2:19</w:t>
        </w:r>
      </w:hyperlink>
      <w:r>
        <w:rPr>
          <w:lang w:val="ar_AE" w:bidi="ar_AE"/>
        </w:rPr>
        <w:t xml:space="preserve">). </w:t>
      </w:r>
      <w:r>
        <w:rPr>
          <w:lang w:val="ar_AE" w:bidi="ar_AE"/>
        </w:rPr>
        <w:t>اسْتَمَدَّ المعلمون الكَذَبَةُ تشديدهم على مبادئهم من شيء آخر غير المسيح، مما يعني أن المبادئ لا يمكنها تحقيق أيَّة فائدةٍ رُوحِيَّةٍ</w:t>
      </w:r>
      <w:r>
        <w:rPr>
          <w:lang w:val="ar_AE" w:bidi="ar_AE"/>
        </w:rPr>
        <w:t xml:space="preserve"> (</w:t>
      </w:r>
      <w:hyperlink r:id="rId40">
        <w:r>
          <w:rPr>
            <w:lang w:val="ar_AE" w:bidi="ar_AE"/>
          </w:rPr>
          <w:rPr>
            <w:color w:val="0000EE"/>
            <w:u w:val="single"/>
          </w:rPr>
          <w:t>2:23</w:t>
        </w:r>
      </w:hyperlink>
      <w:r>
        <w:rPr>
          <w:lang w:val="ar_AE" w:bidi="ar_AE"/>
        </w:rPr>
        <w:t xml:space="preserve">). </w:t>
      </w:r>
      <w:r>
        <w:rPr>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lang w:val="ar_AE" w:bidi="ar_AE"/>
        </w:rPr>
        <w:t>.</w:t>
      </w:r>
    </w:p>
    <w:p>
      <w:pPr>
        <w:bidi/>
      </w:pPr>
      <w:r>
        <w:rPr>
          <w:lang w:val="ar_AE" w:bidi="ar_AE"/>
        </w:rPr>
      </w:r>
      <w:r>
        <w:rPr>
          <w:lang w:val="ar_AE" w:bidi="ar_AE"/>
        </w:rPr>
        <w:t xml:space="preserve">لقد صَالَحَنا المَسِيحُ مع الله، وفي المَسِيح نحيا الآن، وبناءً عليه، </w:t>
      </w:r>
      <w:r>
        <w:rPr>
          <w:lang w:val="ar_AE" w:bidi="ar_AE"/>
        </w:rPr>
        <w:t>يُسَدِّدُ المسيحُ</w:t>
      </w:r>
      <w:r>
        <w:rPr>
          <w:lang w:val="ar_AE" w:bidi="ar_AE"/>
        </w:rPr>
        <w:t xml:space="preserve"> كلَّ احتياجاتنا الرُّوحيَّة. لا نحتاجُ إلى أي شخصٍ أو شيءٍ آخر لبلوغِ الكَمَالِ الرُّوحِيِّ الحقيقيِّ</w:t>
      </w:r>
      <w:r>
        <w:rPr>
          <w:lang w:val="ar_AE" w:bidi="ar_AE"/>
        </w:rPr>
        <w:t>.</w:t>
      </w:r>
    </w:p>
    <w:p>
      <w:pPr>
        <w:bidi/>
      </w:pPr>
      <w:r>
        <w:rPr>
          <w:lang w:val="ar_AE" w:bidi="ar_AE"/>
        </w:rPr>
      </w:r>
      <w:r>
        <w:rPr>
          <w:lang w:val="ar_AE" w:bidi="ar_AE"/>
        </w:rPr>
        <w:t>يناشِدُ الرَّسُول بُولُس مؤمني كنيسة كُولُوسِّي على تجنُّب أيَّ استثمارٍ رُوحِيٍّ عن طريق الممارسات الطَّقْسِيَّةِ</w:t>
      </w:r>
      <w:r>
        <w:rPr>
          <w:lang w:val="ar_AE" w:bidi="ar_AE"/>
        </w:rPr>
        <w:t xml:space="preserve"> (</w:t>
      </w:r>
      <w:hyperlink r:id="rId28">
        <w:r>
          <w:rPr>
            <w:lang w:val="ar_AE" w:bidi="ar_AE"/>
          </w:rPr>
          <w:rPr>
            <w:color w:val="0000EE"/>
            <w:u w:val="single"/>
          </w:rPr>
          <w:t>2:16–23</w:t>
        </w:r>
      </w:hyperlink>
      <w:r>
        <w:rPr>
          <w:lang w:val="ar_AE" w:bidi="ar_AE"/>
        </w:rPr>
        <w:t xml:space="preserve">). </w:t>
      </w:r>
      <w:r>
        <w:rPr>
          <w:lang w:val="ar_AE" w:bidi="ar_AE"/>
        </w:rPr>
        <w:t>بالأحرى، ينبغي على جميعِ المسيحيين أن يَتَّحِدُوا بالمَسِيح في مَوتِهِ وقيامتِهِ</w:t>
      </w:r>
      <w:r>
        <w:rPr>
          <w:lang w:val="ar_AE" w:bidi="ar_AE"/>
        </w:rPr>
        <w:t xml:space="preserve"> (</w:t>
      </w:r>
      <w:hyperlink r:id="rId41">
        <w:r>
          <w:rPr>
            <w:lang w:val="ar_AE" w:bidi="ar_AE"/>
          </w:rPr>
          <w:rPr>
            <w:color w:val="0000EE"/>
            <w:u w:val="single"/>
          </w:rPr>
          <w:t>2:11</w:t>
        </w:r>
      </w:hyperlink>
      <w:r>
        <w:rPr>
          <w:lang w:val="ar_AE" w:bidi="ar_AE"/>
        </w:rPr>
        <w:t xml:space="preserve">، </w:t>
      </w:r>
      <w:hyperlink r:id="rId42">
        <w:r>
          <w:rPr>
            <w:lang w:val="ar_AE" w:bidi="ar_AE"/>
          </w:rPr>
          <w:rPr>
            <w:color w:val="0000EE"/>
            <w:u w:val="single"/>
          </w:rPr>
          <w:t>19–20</w:t>
        </w:r>
      </w:hyperlink>
      <w:r>
        <w:rPr>
          <w:lang w:val="ar_AE" w:bidi="ar_AE"/>
        </w:rPr>
        <w:t xml:space="preserve">؛ </w:t>
      </w:r>
      <w:hyperlink r:id="rId43">
        <w:r>
          <w:rPr>
            <w:lang w:val="ar_AE" w:bidi="ar_AE"/>
          </w:rPr>
          <w:rPr>
            <w:color w:val="0000EE"/>
            <w:u w:val="single"/>
          </w:rPr>
          <w:t>3:1–4</w:t>
        </w:r>
      </w:hyperlink>
      <w:r>
        <w:rPr>
          <w:lang w:val="ar_AE" w:bidi="ar_AE"/>
        </w:rPr>
        <w:t>)</w:t>
      </w:r>
      <w:r>
        <w:rPr>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