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hyperlink r:id="rId13">
        <w:r>
          <w:rPr>
            <w:lang w:val="fr_FR" w:bidi="fr_FR"/>
          </w:rPr>
          <w:rPr>
            <w:color w:val="0000EE"/>
            <w:u w:val="single"/>
          </w:rPr>
          <w:t>1P 1.1</w:t>
        </w:r>
      </w:hyperlink>
      <w:r>
        <w:rPr>
          <w:lang w:val="fr_FR" w:bidi="fr_FR"/>
        </w:rPr>
        <w:t xml:space="preserve"> ; voir </w:t>
      </w:r>
      <w:hyperlink r:id="rId14">
        <w:r>
          <w:rPr>
            <w:lang w:val="fr_FR" w:bidi="fr_FR"/>
          </w:rPr>
          <w:rPr>
            <w:color w:val="0000EE"/>
            <w:u w:val="single"/>
          </w:rPr>
          <w:t>2P 3.1</w:t>
        </w:r>
      </w:hyperlink>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hyperlink r:id="rId15">
        <w:r>
          <w:rPr>
            <w:lang w:val="fr_FR" w:bidi="fr_FR"/>
          </w:rPr>
          <w:rPr>
            <w:color w:val="0000EE"/>
            <w:u w:val="single"/>
          </w:rPr>
          <w:t>Ac 12.16–17</w:t>
        </w:r>
      </w:hyperlink>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hyperlink r:id="rId16">
        <w:r>
          <w:rPr>
            <w:lang w:val="fr_FR" w:bidi="fr_FR"/>
          </w:rPr>
          <w:rPr>
            <w:color w:val="0000EE"/>
            <w:u w:val="single"/>
          </w:rPr>
          <w:t>1.1–15</w:t>
        </w:r>
      </w:hyperlink>
      <w:r>
        <w:rPr>
          <w:lang w:val="fr_FR" w:bidi="fr_FR"/>
        </w:rPr>
        <w:t>), Pierre s'identifie ainsi que ses lecteurs (</w:t>
      </w:r>
      <w:hyperlink r:id="rId17">
        <w:r>
          <w:rPr>
            <w:lang w:val="fr_FR" w:bidi="fr_FR"/>
          </w:rPr>
          <w:rPr>
            <w:color w:val="0000EE"/>
            <w:u w:val="single"/>
          </w:rPr>
          <w:t>1.1–2</w:t>
        </w:r>
      </w:hyperlink>
      <w:r>
        <w:rPr>
          <w:lang w:val="fr_FR" w:bidi="fr_FR"/>
        </w:rPr>
        <w:t>), puis expose sa préoccupation principale : il souhaite que ses lecteurs grandissent dans la connaissance de Dieu et du Christ (</w:t>
      </w:r>
      <w:hyperlink r:id="rId18">
        <w:r>
          <w:rPr>
            <w:lang w:val="fr_FR" w:bidi="fr_FR"/>
          </w:rPr>
          <w:rPr>
            <w:color w:val="0000EE"/>
            <w:u w:val="single"/>
          </w:rPr>
          <w:t>1.3–11</w:t>
        </w:r>
      </w:hyperlink>
      <w:r>
        <w:rPr>
          <w:lang w:val="fr_FR" w:bidi="fr_FR"/>
        </w:rPr>
        <w:t>). Il leur confie aussi, avec un certain sentiment d’urgence, qu’il sait que sa fin est proche (</w:t>
      </w:r>
      <w:hyperlink r:id="rId19">
        <w:r>
          <w:rPr>
            <w:lang w:val="fr_FR" w:bidi="fr_FR"/>
          </w:rPr>
          <w:rPr>
            <w:color w:val="0000EE"/>
            <w:u w:val="single"/>
          </w:rPr>
          <w:t>1.12–15</w:t>
        </w:r>
      </w:hyperlink>
      <w:r>
        <w:rPr>
          <w:lang w:val="fr_FR" w:bidi="fr_FR"/>
        </w:rPr>
        <w:t>).</w:t>
      </w:r>
    </w:p>
    <w:p>
      <w:pPr/>
      <w:r>
        <w:rPr>
          <w:lang w:val="fr_FR" w:bidi="fr_FR"/>
        </w:rPr>
      </w:r>
      <w:r>
        <w:rPr>
          <w:lang w:val="fr_FR" w:bidi="fr_FR"/>
        </w:rPr>
        <w:t xml:space="preserve">Le </w:t>
      </w:r>
      <w:hyperlink r:id="rId20">
        <w:r>
          <w:rPr>
            <w:lang w:val="fr_FR" w:bidi="fr_FR"/>
          </w:rPr>
          <w:rPr>
            <w:color w:val="0000EE"/>
            <w:u w:val="single"/>
          </w:rPr>
          <w:t>chap. 2</w:t>
        </w:r>
      </w:hyperlink>
      <w:r>
        <w:rPr>
          <w:lang w:val="fr_FR" w:bidi="fr_FR"/>
        </w:rPr>
        <w:t xml:space="preserve"> constitue le cœur du message. Pierre y expose et condamne fermement les faux enseignants. Avant cette dénonciation, il rappelle avec force la certitude du retour glorieux du Christ (</w:t>
      </w:r>
      <w:hyperlink r:id="rId21">
        <w:r>
          <w:rPr>
            <w:lang w:val="fr_FR" w:bidi="fr_FR"/>
          </w:rPr>
          <w:rPr>
            <w:color w:val="0000EE"/>
            <w:u w:val="single"/>
          </w:rPr>
          <w:t>1.16–21</w:t>
        </w:r>
      </w:hyperlink>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hyperlink r:id="rId22">
        <w:r>
          <w:rPr>
            <w:lang w:val="fr_FR" w:bidi="fr_FR"/>
          </w:rPr>
          <w:rPr>
            <w:color w:val="0000EE"/>
            <w:u w:val="single"/>
          </w:rPr>
          <w:t>2.1–3</w:t>
        </w:r>
      </w:hyperlink>
      <w:r>
        <w:rPr>
          <w:lang w:val="fr_FR" w:bidi="fr_FR"/>
        </w:rPr>
        <w:t>), affirme ensuite que Dieu saura les juger tout en sauvant les justes (</w:t>
      </w:r>
      <w:hyperlink r:id="rId23">
        <w:r>
          <w:rPr>
            <w:lang w:val="fr_FR" w:bidi="fr_FR"/>
          </w:rPr>
          <w:rPr>
            <w:color w:val="0000EE"/>
            <w:u w:val="single"/>
          </w:rPr>
          <w:t>2.4–10</w:t>
        </w:r>
      </w:hyperlink>
      <w:r>
        <w:rPr>
          <w:lang w:val="fr_FR" w:bidi="fr_FR"/>
        </w:rPr>
        <w:t>), expose clairement leurs comportements pécheurs (</w:t>
      </w:r>
      <w:hyperlink r:id="rId24">
        <w:r>
          <w:rPr>
            <w:lang w:val="fr_FR" w:bidi="fr_FR"/>
          </w:rPr>
          <w:rPr>
            <w:color w:val="0000EE"/>
            <w:u w:val="single"/>
          </w:rPr>
          <w:t>2.10–16</w:t>
        </w:r>
      </w:hyperlink>
      <w:r>
        <w:rPr>
          <w:lang w:val="fr_FR" w:bidi="fr_FR"/>
        </w:rPr>
        <w:t>), puis prononce leur condamnation (</w:t>
      </w:r>
      <w:hyperlink r:id="rId25">
        <w:r>
          <w:rPr>
            <w:lang w:val="fr_FR" w:bidi="fr_FR"/>
          </w:rPr>
          <w:rPr>
            <w:color w:val="0000EE"/>
            <w:u w:val="single"/>
          </w:rPr>
          <w:t>2.17–22</w:t>
        </w:r>
      </w:hyperlink>
      <w:r>
        <w:rPr>
          <w:lang w:val="fr_FR" w:bidi="fr_FR"/>
        </w:rPr>
        <w:t>).</w:t>
      </w:r>
    </w:p>
    <w:p>
      <w:pPr/>
      <w:r>
        <w:rPr>
          <w:lang w:val="fr_FR" w:bidi="fr_FR"/>
        </w:rPr>
      </w:r>
      <w:r>
        <w:rPr>
          <w:lang w:val="fr_FR" w:bidi="fr_FR"/>
        </w:rPr>
        <w:t xml:space="preserve">Dans le </w:t>
      </w:r>
      <w:hyperlink r:id="rId20">
        <w:r>
          <w:rPr>
            <w:lang w:val="fr_FR" w:bidi="fr_FR"/>
          </w:rPr>
          <w:rPr>
            <w:color w:val="0000EE"/>
            <w:u w:val="single"/>
          </w:rPr>
          <w:t>chap. 3</w:t>
        </w:r>
      </w:hyperlink>
      <w:r>
        <w:rPr>
          <w:lang w:val="fr_FR" w:bidi="fr_FR"/>
        </w:rPr>
        <w:t>, il insiste à nouveau sur la promesse du retour du Christ dans la gloire pour transformer le monde (</w:t>
      </w:r>
      <w:hyperlink r:id="rId26">
        <w:r>
          <w:rPr>
            <w:lang w:val="fr_FR" w:bidi="fr_FR"/>
          </w:rPr>
          <w:rPr>
            <w:color w:val="0000EE"/>
            <w:u w:val="single"/>
          </w:rPr>
          <w:t>3.1–13</w:t>
        </w:r>
      </w:hyperlink>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hyperlink r:id="rId27">
        <w:r>
          <w:rPr>
            <w:lang w:val="fr_FR" w:bidi="fr_FR"/>
          </w:rPr>
          <w:rPr>
            <w:color w:val="0000EE"/>
            <w:u w:val="single"/>
          </w:rPr>
          <w:t>3.18</w:t>
        </w:r>
      </w:hyperlink>
      <w:r>
        <w:rPr>
          <w:lang w:val="fr_FR" w:bidi="fr_FR"/>
        </w:rPr>
        <w:t xml:space="preserve"> ; voir </w:t>
      </w:r>
      <w:hyperlink r:id="rId18">
        <w:r>
          <w:rPr>
            <w:lang w:val="fr_FR" w:bidi="fr_FR"/>
          </w:rPr>
          <w:rPr>
            <w:color w:val="0000EE"/>
            <w:u w:val="single"/>
          </w:rPr>
          <w:t>1.3–11</w:t>
        </w:r>
      </w:hyperlink>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hyperlink r:id="rId28">
        <w:r>
          <w:rPr>
            <w:lang w:val="fr_FR" w:bidi="fr_FR"/>
          </w:rPr>
          <w:rPr>
            <w:color w:val="0000EE"/>
            <w:u w:val="single"/>
          </w:rPr>
          <w:t>1.1</w:t>
        </w:r>
      </w:hyperlink>
      <w:r>
        <w:rPr>
          <w:lang w:val="fr_FR" w:bidi="fr_FR"/>
        </w:rPr>
        <w:t xml:space="preserve">), l’un des apôtres de Jésus. Il affirme qu’il s’agit de « </w:t>
      </w:r>
      <w:r>
        <w:rPr>
          <w:lang w:val="fr_FR" w:bidi="fr_FR"/>
        </w:rPr>
        <w:t>la seconde lettre que je vous écris</w:t>
      </w:r>
      <w:r>
        <w:rPr>
          <w:lang w:val="fr_FR" w:bidi="fr_FR"/>
        </w:rPr>
        <w:t xml:space="preserve"> » (</w:t>
      </w:r>
      <w:hyperlink r:id="rId14">
        <w:r>
          <w:rPr>
            <w:lang w:val="fr_FR" w:bidi="fr_FR"/>
          </w:rPr>
          <w:rPr>
            <w:color w:val="0000EE"/>
            <w:u w:val="single"/>
          </w:rPr>
          <w:t>3.1</w:t>
        </w:r>
      </w:hyperlink>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hyperlink r:id="rId29">
        <w:r>
          <w:rPr>
            <w:lang w:val="fr_FR" w:bidi="fr_FR"/>
          </w:rPr>
          <w:rPr>
            <w:color w:val="0000EE"/>
            <w:u w:val="single"/>
          </w:rPr>
          <w:t>1P 5.12</w:t>
        </w:r>
      </w:hyperlink>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0">
        <w:r>
          <w:rPr>
            <w:lang w:val="fr_FR" w:bidi="fr_FR"/>
          </w:rPr>
          <w:rPr>
            <w:color w:val="0000EE"/>
            <w:u w:val="single"/>
          </w:rPr>
          <w:t>2P 2.3</w:t>
        </w:r>
      </w:hyperlink>
      <w:r>
        <w:rPr>
          <w:lang w:val="fr_FR" w:bidi="fr_FR"/>
        </w:rPr>
        <w:t xml:space="preserve"> // </w:t>
      </w:r>
      <w:hyperlink r:id="rId31">
        <w:r>
          <w:rPr>
            <w:lang w:val="fr_FR" w:bidi="fr_FR"/>
          </w:rPr>
          <w:rPr>
            <w:color w:val="0000EE"/>
            <w:u w:val="single"/>
          </w:rPr>
          <w:t xml:space="preserve">Jd 1.4 </w:t>
        </w:r>
      </w:hyperlink>
      <w:r>
        <w:rPr>
          <w:lang w:val="fr_FR" w:bidi="fr_FR"/>
        </w:rPr>
        <w:t xml:space="preserve">; </w:t>
      </w:r>
      <w:hyperlink r:id="rId32">
        <w:r>
          <w:rPr>
            <w:lang w:val="fr_FR" w:bidi="fr_FR"/>
          </w:rPr>
          <w:rPr>
            <w:color w:val="0000EE"/>
            <w:u w:val="single"/>
          </w:rPr>
          <w:t>2P 2.4</w:t>
        </w:r>
      </w:hyperlink>
      <w:r>
        <w:rPr>
          <w:lang w:val="fr_FR" w:bidi="fr_FR"/>
        </w:rPr>
        <w:t xml:space="preserve"> // </w:t>
      </w:r>
      <w:hyperlink r:id="rId33">
        <w:r>
          <w:rPr>
            <w:lang w:val="fr_FR" w:bidi="fr_FR"/>
          </w:rPr>
          <w:rPr>
            <w:color w:val="0000EE"/>
            <w:u w:val="single"/>
          </w:rPr>
          <w:t xml:space="preserve">Jd 1.6 </w:t>
        </w:r>
      </w:hyperlink>
      <w:r>
        <w:rPr>
          <w:lang w:val="fr_FR" w:bidi="fr_FR"/>
        </w:rPr>
        <w:t xml:space="preserve">; </w:t>
      </w:r>
      <w:hyperlink r:id="rId34">
        <w:r>
          <w:rPr>
            <w:lang w:val="fr_FR" w:bidi="fr_FR"/>
          </w:rPr>
          <w:rPr>
            <w:color w:val="0000EE"/>
            <w:u w:val="single"/>
          </w:rPr>
          <w:t>2P 2.6</w:t>
        </w:r>
      </w:hyperlink>
      <w:r>
        <w:rPr>
          <w:lang w:val="fr_FR" w:bidi="fr_FR"/>
        </w:rPr>
        <w:t xml:space="preserve"> // </w:t>
      </w:r>
      <w:hyperlink r:id="rId35">
        <w:r>
          <w:rPr>
            <w:lang w:val="fr_FR" w:bidi="fr_FR"/>
          </w:rPr>
          <w:rPr>
            <w:color w:val="0000EE"/>
            <w:u w:val="single"/>
          </w:rPr>
          <w:t xml:space="preserve">Jd 1.7 </w:t>
        </w:r>
      </w:hyperlink>
      <w:r>
        <w:rPr>
          <w:lang w:val="fr_FR" w:bidi="fr_FR"/>
        </w:rPr>
        <w:t xml:space="preserve">; </w:t>
      </w:r>
      <w:hyperlink r:id="rId36">
        <w:r>
          <w:rPr>
            <w:lang w:val="fr_FR" w:bidi="fr_FR"/>
          </w:rPr>
          <w:rPr>
            <w:color w:val="0000EE"/>
            <w:u w:val="single"/>
          </w:rPr>
          <w:t>2P 2.10</w:t>
        </w:r>
      </w:hyperlink>
      <w:r>
        <w:rPr>
          <w:lang w:val="fr_FR" w:bidi="fr_FR"/>
        </w:rPr>
        <w:t xml:space="preserve"> // </w:t>
      </w:r>
      <w:hyperlink r:id="rId37">
        <w:r>
          <w:rPr>
            <w:lang w:val="fr_FR" w:bidi="fr_FR"/>
          </w:rPr>
          <w:rPr>
            <w:color w:val="0000EE"/>
            <w:u w:val="single"/>
          </w:rPr>
          <w:t xml:space="preserve">Jd 1.8 </w:t>
        </w:r>
      </w:hyperlink>
      <w:r>
        <w:rPr>
          <w:lang w:val="fr_FR" w:bidi="fr_FR"/>
        </w:rPr>
        <w:t xml:space="preserve">; </w:t>
      </w:r>
      <w:hyperlink r:id="rId38">
        <w:r>
          <w:rPr>
            <w:lang w:val="fr_FR" w:bidi="fr_FR"/>
          </w:rPr>
          <w:rPr>
            <w:color w:val="0000EE"/>
            <w:u w:val="single"/>
          </w:rPr>
          <w:t>2P 2.11</w:t>
        </w:r>
      </w:hyperlink>
      <w:r>
        <w:rPr>
          <w:lang w:val="fr_FR" w:bidi="fr_FR"/>
        </w:rPr>
        <w:t xml:space="preserve"> // </w:t>
      </w:r>
      <w:hyperlink r:id="rId39">
        <w:r>
          <w:rPr>
            <w:lang w:val="fr_FR" w:bidi="fr_FR"/>
          </w:rPr>
          <w:rPr>
            <w:color w:val="0000EE"/>
            <w:u w:val="single"/>
          </w:rPr>
          <w:t xml:space="preserve">Jd 1.9 </w:t>
        </w:r>
      </w:hyperlink>
      <w:r>
        <w:rPr>
          <w:lang w:val="fr_FR" w:bidi="fr_FR"/>
        </w:rPr>
        <w:t xml:space="preserve">; </w:t>
      </w:r>
      <w:hyperlink r:id="rId40">
        <w:r>
          <w:rPr>
            <w:lang w:val="fr_FR" w:bidi="fr_FR"/>
          </w:rPr>
          <w:rPr>
            <w:color w:val="0000EE"/>
            <w:u w:val="single"/>
          </w:rPr>
          <w:t>2P 2.13</w:t>
        </w:r>
      </w:hyperlink>
      <w:r>
        <w:rPr>
          <w:lang w:val="fr_FR" w:bidi="fr_FR"/>
        </w:rPr>
        <w:t xml:space="preserve">, </w:t>
      </w:r>
      <w:hyperlink r:id="rId41">
        <w:r>
          <w:rPr>
            <w:lang w:val="fr_FR" w:bidi="fr_FR"/>
          </w:rPr>
          <w:rPr>
            <w:color w:val="0000EE"/>
            <w:u w:val="single"/>
          </w:rPr>
          <w:t>17</w:t>
        </w:r>
      </w:hyperlink>
      <w:r>
        <w:rPr>
          <w:lang w:val="fr_FR" w:bidi="fr_FR"/>
        </w:rPr>
        <w:t xml:space="preserve"> // </w:t>
      </w:r>
      <w:hyperlink r:id="rId42">
        <w:r>
          <w:rPr>
            <w:lang w:val="fr_FR" w:bidi="fr_FR"/>
          </w:rPr>
          <w:rPr>
            <w:color w:val="0000EE"/>
            <w:u w:val="single"/>
          </w:rPr>
          <w:t xml:space="preserve">Jd 1.12 </w:t>
        </w:r>
      </w:hyperlink>
      <w:r>
        <w:rPr>
          <w:lang w:val="fr_FR" w:bidi="fr_FR"/>
        </w:rPr>
        <w:t xml:space="preserve">; </w:t>
      </w:r>
      <w:hyperlink r:id="rId43">
        <w:r>
          <w:rPr>
            <w:lang w:val="fr_FR" w:bidi="fr_FR"/>
          </w:rPr>
          <w:rPr>
            <w:color w:val="0000EE"/>
            <w:u w:val="single"/>
          </w:rPr>
          <w:t>2P 3.3</w:t>
        </w:r>
      </w:hyperlink>
      <w:r>
        <w:rPr>
          <w:lang w:val="fr_FR" w:bidi="fr_FR"/>
        </w:rPr>
        <w:t xml:space="preserve"> // </w:t>
      </w:r>
      <w:hyperlink r:id="rId37">
        <w:r>
          <w:rPr>
            <w:lang w:val="fr_FR" w:bidi="fr_FR"/>
          </w:rPr>
          <w:rPr>
            <w:color w:val="0000EE"/>
            <w:u w:val="single"/>
          </w:rPr>
          <w:t>Jd 1.8</w:t>
        </w:r>
      </w:hyperlink>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4">
        <w:r>
          <w:rPr>
            <w:lang w:val="fr_FR" w:bidi="fr_FR"/>
          </w:rPr>
          <w:rPr>
            <w:color w:val="0000EE"/>
            <w:u w:val="single"/>
          </w:rPr>
          <w:t>2P 2.19–20</w:t>
        </w:r>
      </w:hyperlink>
      <w:r>
        <w:rPr>
          <w:lang w:val="fr_FR" w:bidi="fr_FR"/>
        </w:rPr>
        <w:t xml:space="preserve">). Ils rejettent toute forme d’autorité (voir </w:t>
      </w:r>
      <w:hyperlink r:id="rId45">
        <w:r>
          <w:rPr>
            <w:lang w:val="fr_FR" w:bidi="fr_FR"/>
          </w:rPr>
          <w:rPr>
            <w:color w:val="0000EE"/>
            <w:u w:val="single"/>
          </w:rPr>
          <w:t>2.10–11</w:t>
        </w:r>
      </w:hyperlink>
      <w:r>
        <w:rPr>
          <w:lang w:val="fr_FR" w:bidi="fr_FR"/>
        </w:rPr>
        <w:t>), se livrent à des relations sexuelles illicites, à l’excès de boisson et de nourriture, et à la cupidité (</w:t>
      </w:r>
      <w:hyperlink r:id="rId46">
        <w:r>
          <w:rPr>
            <w:lang w:val="fr_FR" w:bidi="fr_FR"/>
          </w:rPr>
          <w:rPr>
            <w:color w:val="0000EE"/>
            <w:u w:val="single"/>
          </w:rPr>
          <w:t>2.13–20</w:t>
        </w:r>
      </w:hyperlink>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hyperlink r:id="rId47">
        <w:r>
          <w:rPr>
            <w:lang w:val="fr_FR" w:bidi="fr_FR"/>
          </w:rPr>
          <w:rPr>
            <w:color w:val="0000EE"/>
            <w:u w:val="single"/>
          </w:rPr>
          <w:t>2.1</w:t>
        </w:r>
      </w:hyperlink>
      <w:r>
        <w:rPr>
          <w:lang w:val="fr_FR" w:bidi="fr_FR"/>
        </w:rPr>
        <w:t xml:space="preserve">, </w:t>
      </w:r>
      <w:hyperlink r:id="rId48">
        <w:r>
          <w:rPr>
            <w:lang w:val="fr_FR" w:bidi="fr_FR"/>
          </w:rPr>
          <w:rPr>
            <w:color w:val="0000EE"/>
            <w:u w:val="single"/>
          </w:rPr>
          <w:t>21–22</w:t>
        </w:r>
      </w:hyperlink>
      <w:r>
        <w:rPr>
          <w:lang w:val="fr_FR" w:bidi="fr_FR"/>
        </w:rPr>
        <w:t>), Pierre ne laisse aucun doute sur leur véritable nature : ils s’opposent à l’Éternel, et leur rébellion les conduit à la condamnation (</w:t>
      </w:r>
      <w:hyperlink r:id="rId30">
        <w:r>
          <w:rPr>
            <w:lang w:val="fr_FR" w:bidi="fr_FR"/>
          </w:rPr>
          <w:rPr>
            <w:color w:val="0000EE"/>
            <w:u w:val="single"/>
          </w:rPr>
          <w:t>2.3</w:t>
        </w:r>
      </w:hyperlink>
      <w:r>
        <w:rPr>
          <w:lang w:val="fr_FR" w:bidi="fr_FR"/>
        </w:rPr>
        <w:t xml:space="preserve">, </w:t>
      </w:r>
      <w:hyperlink r:id="rId36">
        <w:r>
          <w:rPr>
            <w:lang w:val="fr_FR" w:bidi="fr_FR"/>
          </w:rPr>
          <w:rPr>
            <w:color w:val="0000EE"/>
            <w:u w:val="single"/>
          </w:rPr>
          <w:t>10</w:t>
        </w:r>
      </w:hyperlink>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