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hyperlink r:id="rId13">
        <w:r>
          <w:rPr>
            <w:lang w:val="pt_PT" w:bidi="pt_PT"/>
          </w:rPr>
          <w:rPr>
            <w:color w:val="0000EE"/>
            <w:u w:val="single"/>
          </w:rPr>
          <w:t>Atos 2.11</w:t>
        </w:r>
      </w:hyperlink>
      <w:r>
        <w:rPr>
          <w:lang w:val="pt_PT" w:bidi="pt_PT"/>
        </w:rPr>
        <w:t xml:space="preserve">). Alguns deles poderiam ter levado a fé cristã de volta para a ilha naquela época, mas esta carta a Tito sugere que a igreja em Creta havia sido recentemente fundada como resultado da missão de Paulo (veja </w:t>
      </w:r>
      <w:hyperlink r:id="rId14">
        <w:r>
          <w:rPr>
            <w:lang w:val="pt_PT" w:bidi="pt_PT"/>
          </w:rPr>
          <w:rPr>
            <w:color w:val="0000EE"/>
            <w:u w:val="single"/>
          </w:rPr>
          <w:t>Tito 1.5</w:t>
        </w:r>
      </w:hyperlink>
      <w:r>
        <w:rPr>
          <w:lang w:val="pt_PT" w:bidi="pt_PT"/>
        </w:rPr>
        <w:t>). A única outra menção de Creta no Novo Testamento ocorre durante a transferência de Paulo para Roma como prisioneiro (</w:t>
      </w:r>
      <w:hyperlink r:id="rId15">
        <w:r>
          <w:rPr>
            <w:lang w:val="pt_PT" w:bidi="pt_PT"/>
          </w:rPr>
          <w:rPr>
            <w:color w:val="0000EE"/>
            <w:u w:val="single"/>
          </w:rPr>
          <w:t>Atos 27.7–21</w:t>
        </w:r>
      </w:hyperlink>
      <w:r>
        <w:rPr>
          <w:lang w:val="pt_PT" w:bidi="pt_PT"/>
        </w:rPr>
        <w:t xml:space="preserve">). Paulo não teve oportunidade de realizar um ministério ativo em Creta naquela época. Muito provavelmente, o trabalho de Paulo em Creta começou após os eventos em </w:t>
      </w:r>
      <w:hyperlink r:id="rId16">
        <w:r>
          <w:rPr>
            <w:lang w:val="pt_PT" w:bidi="pt_PT"/>
          </w:rPr>
          <w:rPr>
            <w:color w:val="0000EE"/>
            <w:u w:val="single"/>
          </w:rPr>
          <w:t>Atos 28.1–31</w:t>
        </w:r>
      </w:hyperlink>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hyperlink r:id="rId17">
        <w:r>
          <w:rPr>
            <w:lang w:val="pt_PT" w:bidi="pt_PT"/>
          </w:rPr>
          <w:rPr>
            <w:color w:val="0000EE"/>
            <w:u w:val="single"/>
          </w:rPr>
          <w:t>Atos 14.23</w:t>
        </w:r>
      </w:hyperlink>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18">
        <w:r>
          <w:rPr>
            <w:lang w:val="pt_PT" w:bidi="pt_PT"/>
          </w:rPr>
          <w:rPr>
            <w:color w:val="0000EE"/>
            <w:u w:val="single"/>
          </w:rPr>
          <w:t>Tito 3.12</w:t>
        </w:r>
      </w:hyperlink>
      <w:r>
        <w:rPr>
          <w:lang w:val="pt_PT" w:bidi="pt_PT"/>
        </w:rPr>
        <w:t xml:space="preserve">). O plano de Paulo para passar o inverno em Nicópolis sugere que ele planejava navegar para Oeste de lá quando a primavera chegasse (veja </w:t>
      </w:r>
      <w:hyperlink r:id="rId19">
        <w:r>
          <w:rPr>
            <w:lang w:val="pt_PT" w:bidi="pt_PT"/>
          </w:rPr>
          <w:rPr>
            <w:color w:val="0000EE"/>
            <w:u w:val="single"/>
          </w:rPr>
          <w:t>2Tm 4.21</w:t>
        </w:r>
      </w:hyperlink>
      <w:r>
        <w:rPr>
          <w:lang w:val="pt_PT" w:bidi="pt_PT"/>
        </w:rPr>
        <w:t xml:space="preserve">), provavelmente indo para a Itália e possivelmente para a Espanha (veja </w:t>
      </w:r>
      <w:hyperlink r:id="rId20">
        <w:r>
          <w:rPr>
            <w:lang w:val="pt_PT" w:bidi="pt_PT"/>
          </w:rPr>
          <w:rPr>
            <w:color w:val="0000EE"/>
            <w:u w:val="single"/>
          </w:rPr>
          <w:t>Rm 15.24</w:t>
        </w:r>
      </w:hyperlink>
      <w:r>
        <w:rPr>
          <w:lang w:val="pt_PT" w:bidi="pt_PT"/>
        </w:rPr>
        <w:t xml:space="preserve">, </w:t>
      </w:r>
      <w:hyperlink r:id="rId21">
        <w:r>
          <w:rPr>
            <w:lang w:val="pt_PT" w:bidi="pt_PT"/>
          </w:rPr>
          <w:rPr>
            <w:color w:val="0000EE"/>
            <w:u w:val="single"/>
          </w:rPr>
          <w:t>28</w:t>
        </w:r>
      </w:hyperlink>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hyperlink r:id="rId22">
        <w:r>
          <w:rPr>
            <w:lang w:val="pt_PT" w:bidi="pt_PT"/>
          </w:rPr>
          <w:rPr>
            <w:color w:val="0000EE"/>
            <w:u w:val="single"/>
          </w:rPr>
          <w:t>1.5–3.11</w:t>
        </w:r>
      </w:hyperlink>
      <w:r>
        <w:rPr>
          <w:lang w:val="pt_PT" w:bidi="pt_PT"/>
        </w:rPr>
        <w:t>) é composta em um padrão de instruções, racionalidade e responsabilidades. Paulo constantemente repete este padrão — seja abordando a nomeação de presbíteros (</w:t>
      </w:r>
      <w:hyperlink r:id="rId23">
        <w:r>
          <w:rPr>
            <w:lang w:val="pt_PT" w:bidi="pt_PT"/>
          </w:rPr>
          <w:rPr>
            <w:color w:val="0000EE"/>
            <w:u w:val="single"/>
          </w:rPr>
          <w:t>1.5–16</w:t>
        </w:r>
      </w:hyperlink>
      <w:r>
        <w:rPr>
          <w:lang w:val="pt_PT" w:bidi="pt_PT"/>
        </w:rPr>
        <w:t>), conduta correta entre os membros da família da fé (</w:t>
      </w:r>
      <w:hyperlink r:id="rId24">
        <w:r>
          <w:rPr>
            <w:lang w:val="pt_PT" w:bidi="pt_PT"/>
          </w:rPr>
          <w:rPr>
            <w:color w:val="0000EE"/>
            <w:u w:val="single"/>
          </w:rPr>
          <w:t>2.1–15</w:t>
        </w:r>
      </w:hyperlink>
      <w:r>
        <w:rPr>
          <w:lang w:val="pt_PT" w:bidi="pt_PT"/>
        </w:rPr>
        <w:t>), ou conduta correta na sociedade em geral (</w:t>
      </w:r>
      <w:hyperlink r:id="rId25">
        <w:r>
          <w:rPr>
            <w:lang w:val="pt_PT" w:bidi="pt_PT"/>
          </w:rPr>
          <w:rPr>
            <w:color w:val="0000EE"/>
            <w:u w:val="single"/>
          </w:rPr>
          <w:t>3.1–11</w:t>
        </w:r>
      </w:hyperlink>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hyperlink r:id="rId26">
        <w:r>
          <w:rPr>
            <w:lang w:val="pt_PT" w:bidi="pt_PT"/>
          </w:rPr>
          <w:rPr>
            <w:color w:val="0000EE"/>
            <w:u w:val="single"/>
          </w:rPr>
          <w:t>Atos 21</w:t>
        </w:r>
      </w:hyperlink>
      <w:r>
        <w:rPr>
          <w:lang w:val="pt_PT" w:bidi="pt_PT"/>
        </w:rPr>
        <w:t xml:space="preserve">, mas uma data após o aprisionamento em </w:t>
      </w:r>
      <w:hyperlink r:id="rId16">
        <w:r>
          <w:rPr>
            <w:lang w:val="pt_PT" w:bidi="pt_PT"/>
          </w:rPr>
          <w:rPr>
            <w:color w:val="0000EE"/>
            <w:u w:val="single"/>
          </w:rPr>
          <w:t>Atos 28</w:t>
        </w:r>
      </w:hyperlink>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hyperlink r:id="rId27">
        <w:r>
          <w:rPr>
            <w:lang w:val="pt_PT" w:bidi="pt_PT"/>
          </w:rPr>
          <w:rPr>
            <w:color w:val="0000EE"/>
            <w:u w:val="single"/>
          </w:rPr>
          <w:t>2.13</w:t>
        </w:r>
      </w:hyperlink>
      <w:r>
        <w:rPr>
          <w:lang w:val="pt_PT" w:bidi="pt_PT"/>
        </w:rPr>
        <w:t>) — oferecendo salvação através de pura misericórdia (</w:t>
      </w:r>
      <w:hyperlink r:id="rId28">
        <w:r>
          <w:rPr>
            <w:lang w:val="pt_PT" w:bidi="pt_PT"/>
          </w:rPr>
          <w:rPr>
            <w:color w:val="0000EE"/>
            <w:u w:val="single"/>
          </w:rPr>
          <w:t>3.5</w:t>
        </w:r>
      </w:hyperlink>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hyperlink r:id="rId29">
        <w:r>
          <w:rPr>
            <w:lang w:val="pt_PT" w:bidi="pt_PT"/>
          </w:rPr>
          <w:rPr>
            <w:color w:val="0000EE"/>
            <w:u w:val="single"/>
          </w:rPr>
          <w:t>Tito 1.10–16</w:t>
        </w:r>
      </w:hyperlink>
      <w:r>
        <w:rPr>
          <w:lang w:val="pt_PT" w:bidi="pt_PT"/>
        </w:rPr>
        <w:t xml:space="preserve">) sugere que ensinamentos bastante semelhantes estavam sendo confrontados em ambos os lugares (veja </w:t>
      </w:r>
      <w:hyperlink r:id="rId30">
        <w:r>
          <w:rPr>
            <w:lang w:val="pt_PT" w:bidi="pt_PT"/>
          </w:rPr>
          <w:rPr>
            <w:color w:val="0000EE"/>
            <w:u w:val="single"/>
          </w:rPr>
          <w:t>1Tm 1.4–7</w:t>
        </w:r>
      </w:hyperlink>
      <w:r>
        <w:rPr>
          <w:lang w:val="pt_PT" w:bidi="pt_PT"/>
        </w:rPr>
        <w:t xml:space="preserve">; </w:t>
      </w:r>
      <w:hyperlink r:id="rId31">
        <w:r>
          <w:rPr>
            <w:lang w:val="pt_PT" w:bidi="pt_PT"/>
          </w:rPr>
          <w:rPr>
            <w:color w:val="0000EE"/>
            <w:u w:val="single"/>
          </w:rPr>
          <w:t>4.1–4</w:t>
        </w:r>
      </w:hyperlink>
      <w:r>
        <w:rPr>
          <w:lang w:val="pt_PT" w:bidi="pt_PT"/>
        </w:rPr>
        <w:t xml:space="preserve">; </w:t>
      </w:r>
      <w:hyperlink r:id="rId32">
        <w:r>
          <w:rPr>
            <w:lang w:val="pt_PT" w:bidi="pt_PT"/>
          </w:rPr>
          <w:rPr>
            <w:color w:val="0000EE"/>
            <w:u w:val="single"/>
          </w:rPr>
          <w:t>2Tm 3.1–7</w:t>
        </w:r>
      </w:hyperlink>
      <w:r>
        <w:rPr>
          <w:lang w:val="pt_PT" w:bidi="pt_PT"/>
        </w:rPr>
        <w:t xml:space="preserve">; </w:t>
      </w:r>
      <w:hyperlink r:id="rId33">
        <w:r>
          <w:rPr>
            <w:lang w:val="pt_PT" w:bidi="pt_PT"/>
          </w:rPr>
          <w:rPr>
            <w:color w:val="0000EE"/>
            <w:u w:val="single"/>
          </w:rPr>
          <w:t>4.3–4</w:t>
        </w:r>
      </w:hyperlink>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4">
        <w:r>
          <w:rPr>
            <w:lang w:val="pt_PT" w:bidi="pt_PT"/>
          </w:rPr>
          <w:rPr>
            <w:color w:val="0000EE"/>
            <w:u w:val="single"/>
          </w:rPr>
          <w:t>1Tm 5.3–16</w:t>
        </w:r>
      </w:hyperlink>
      <w:r>
        <w:rPr>
          <w:lang w:val="pt_PT" w:bidi="pt_PT"/>
        </w:rPr>
        <w:t>) e diáconos (</w:t>
      </w:r>
      <w:hyperlink r:id="rId35">
        <w:r>
          <w:rPr>
            <w:lang w:val="pt_PT" w:bidi="pt_PT"/>
          </w:rPr>
          <w:rPr>
            <w:color w:val="0000EE"/>
            <w:u w:val="single"/>
          </w:rPr>
          <w:t>1Tm 3.8–13</w:t>
        </w:r>
      </w:hyperlink>
      <w:r>
        <w:rPr>
          <w:lang w:val="pt_PT" w:bidi="pt_PT"/>
        </w:rPr>
        <w:t xml:space="preserve">). As diferenças entre os causadores de problemas podem explicar o silêncio sobre o assunto das mulheres como mestres (veja </w:t>
      </w:r>
      <w:hyperlink r:id="rId36">
        <w:r>
          <w:rPr>
            <w:lang w:val="pt_PT" w:bidi="pt_PT"/>
          </w:rPr>
          <w:rPr>
            <w:color w:val="0000EE"/>
            <w:u w:val="single"/>
          </w:rPr>
          <w:t>1Tm 2.11–15</w:t>
        </w:r>
      </w:hyperlink>
      <w:r>
        <w:rPr>
          <w:lang w:val="pt_PT" w:bidi="pt_PT"/>
        </w:rPr>
        <w:t>). Os critérios para líderes (</w:t>
      </w:r>
      <w:hyperlink r:id="rId37">
        <w:r>
          <w:rPr>
            <w:lang w:val="pt_PT" w:bidi="pt_PT"/>
          </w:rPr>
          <w:rPr>
            <w:color w:val="0000EE"/>
            <w:u w:val="single"/>
          </w:rPr>
          <w:t>Tito 1.6–9</w:t>
        </w:r>
      </w:hyperlink>
      <w:r>
        <w:rPr>
          <w:lang w:val="pt_PT" w:bidi="pt_PT"/>
        </w:rPr>
        <w:t xml:space="preserve">), bem como os padrões de conduta para os membros da comunidade (veja </w:t>
      </w:r>
      <w:hyperlink r:id="rId38">
        <w:r>
          <w:rPr>
            <w:lang w:val="pt_PT" w:bidi="pt_PT"/>
          </w:rPr>
          <w:rPr>
            <w:color w:val="0000EE"/>
            <w:u w:val="single"/>
          </w:rPr>
          <w:t>2.1–10</w:t>
        </w:r>
      </w:hyperlink>
      <w:r>
        <w:rPr>
          <w:lang w:val="pt_PT" w:bidi="pt_PT"/>
        </w:rPr>
        <w:t>), podem representar diminuição no padrão para acomodar novos convertidos de uma origem mais inculta. Finalmente, a ênfase em guardar o que lhe foi confiado, tão importante em Timóteo (</w:t>
      </w:r>
      <w:hyperlink r:id="rId39">
        <w:r>
          <w:rPr>
            <w:lang w:val="pt_PT" w:bidi="pt_PT"/>
          </w:rPr>
          <w:rPr>
            <w:color w:val="0000EE"/>
            <w:u w:val="single"/>
          </w:rPr>
          <w:t>1Tm 1.18</w:t>
        </w:r>
      </w:hyperlink>
      <w:r>
        <w:rPr>
          <w:lang w:val="pt_PT" w:bidi="pt_PT"/>
        </w:rPr>
        <w:t xml:space="preserve">; </w:t>
      </w:r>
      <w:hyperlink r:id="rId40">
        <w:r>
          <w:rPr>
            <w:lang w:val="pt_PT" w:bidi="pt_PT"/>
          </w:rPr>
          <w:rPr>
            <w:color w:val="0000EE"/>
            <w:u w:val="single"/>
          </w:rPr>
          <w:t>6.20</w:t>
        </w:r>
      </w:hyperlink>
      <w:r>
        <w:rPr>
          <w:lang w:val="pt_PT" w:bidi="pt_PT"/>
        </w:rPr>
        <w:t xml:space="preserve">; </w:t>
      </w:r>
      <w:hyperlink r:id="rId41">
        <w:r>
          <w:rPr>
            <w:lang w:val="pt_PT" w:bidi="pt_PT"/>
          </w:rPr>
          <w:rPr>
            <w:color w:val="0000EE"/>
            <w:u w:val="single"/>
          </w:rPr>
          <w:t>2Tm 1.12–14</w:t>
        </w:r>
      </w:hyperlink>
      <w:r>
        <w:rPr>
          <w:lang w:val="pt_PT" w:bidi="pt_PT"/>
        </w:rPr>
        <w:t xml:space="preserve">; </w:t>
      </w:r>
      <w:hyperlink r:id="rId42">
        <w:r>
          <w:rPr>
            <w:lang w:val="pt_PT" w:bidi="pt_PT"/>
          </w:rPr>
          <w:rPr>
            <w:color w:val="0000EE"/>
            <w:u w:val="single"/>
          </w:rPr>
          <w:t>2.2</w:t>
        </w:r>
      </w:hyperlink>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3">
        <w:r>
          <w:rPr>
            <w:lang w:val="pt_PT" w:bidi="pt_PT"/>
          </w:rPr>
          <w:rPr>
            <w:color w:val="0000EE"/>
            <w:u w:val="single"/>
          </w:rPr>
          <w:t>2.10–11</w:t>
        </w:r>
      </w:hyperlink>
      <w:r>
        <w:rPr>
          <w:lang w:val="pt_PT" w:bidi="pt_PT"/>
        </w:rPr>
        <w:t xml:space="preserve">; </w:t>
      </w:r>
      <w:hyperlink r:id="rId44">
        <w:r>
          <w:rPr>
            <w:lang w:val="pt_PT" w:bidi="pt_PT"/>
          </w:rPr>
          <w:rPr>
            <w:color w:val="0000EE"/>
            <w:u w:val="single"/>
          </w:rPr>
          <w:t>3.2–3</w:t>
        </w:r>
      </w:hyperlink>
      <w:r>
        <w:rPr>
          <w:lang w:val="pt_PT" w:bidi="pt_PT"/>
        </w:rPr>
        <w:t>,</w:t>
      </w:r>
      <w:hyperlink r:id="rId45">
        <w:r>
          <w:rPr>
            <w:lang w:val="pt_PT" w:bidi="pt_PT"/>
          </w:rPr>
          <w:rPr>
            <w:color w:val="0000EE"/>
            <w:u w:val="single"/>
          </w:rPr>
          <w:t>8</w:t>
        </w:r>
      </w:hyperlink>
      <w:r>
        <w:rPr>
          <w:lang w:val="pt_PT" w:bidi="pt_PT"/>
        </w:rPr>
        <w:t xml:space="preserve">; veja </w:t>
      </w:r>
      <w:hyperlink r:id="rId46">
        <w:r>
          <w:rPr>
            <w:lang w:val="pt_PT" w:bidi="pt_PT"/>
          </w:rPr>
          <w:rPr>
            <w:color w:val="0000EE"/>
            <w:u w:val="single"/>
          </w:rPr>
          <w:t>Mt 5.14–16</w:t>
        </w:r>
      </w:hyperlink>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4">
        <w:r>
          <w:rPr>
            <w:lang w:val="pt_PT" w:bidi="pt_PT"/>
          </w:rPr>
          <w:rPr>
            <w:color w:val="0000EE"/>
            <w:u w:val="single"/>
          </w:rPr>
          <w:t>Tito 2.1–15</w:t>
        </w:r>
      </w:hyperlink>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5">
        <w:r>
          <w:rPr>
            <w:lang w:val="pt_PT" w:bidi="pt_PT"/>
          </w:rPr>
          <w:rPr>
            <w:color w:val="0000EE"/>
            <w:u w:val="single"/>
          </w:rPr>
          <w:t>3.1–11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