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hyperlink r:id="rId13">
        <w:r>
          <w:rPr>
            <w:lang w:val="es_ES" w:bidi="es_ES"/>
          </w:rPr>
          <w:rPr>
            <w:color w:val="0000EE"/>
            <w:u w:val="single"/>
          </w:rPr>
          <w:t>1:1</w:t>
        </w:r>
      </w:hyperlink>
      <w:r>
        <w:rPr>
          <w:lang w:val="es_ES" w:bidi="es_ES"/>
        </w:rPr>
        <w:t>) y su epílogo y conclusión (</w:t>
      </w:r>
      <w:hyperlink r:id="rId14">
        <w:r>
          <w:rPr>
            <w:lang w:val="es_ES" w:bidi="es_ES"/>
          </w:rPr>
          <w:rPr>
            <w:color w:val="0000EE"/>
            <w:u w:val="single"/>
          </w:rPr>
          <w:t>12:9–14</w:t>
        </w:r>
      </w:hyperlink>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5">
        <w:r>
          <w:rPr>
            <w:lang w:val="es_ES" w:bidi="es_ES"/>
          </w:rPr>
          <w:rPr>
            <w:color w:val="0000EE"/>
            <w:u w:val="single"/>
          </w:rPr>
          <w:t>12:13–14</w:t>
        </w:r>
      </w:hyperlink>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hyperlink r:id="rId13">
        <w:r>
          <w:rPr>
            <w:lang w:val="es_ES" w:bidi="es_ES"/>
          </w:rPr>
          <w:rPr>
            <w:color w:val="0000EE"/>
            <w:u w:val="single"/>
          </w:rPr>
          <w:t>1:1</w:t>
        </w:r>
      </w:hyperlink>
      <w:r>
        <w:rPr>
          <w:lang w:val="es_ES" w:bidi="es_ES"/>
        </w:rPr>
        <w:t>,</w:t>
      </w:r>
      <w:hyperlink r:id="rId16">
        <w:r>
          <w:rPr>
            <w:lang w:val="es_ES" w:bidi="es_ES"/>
          </w:rPr>
          <w:rPr>
            <w:color w:val="0000EE"/>
            <w:u w:val="single"/>
          </w:rPr>
          <w:t>12</w:t>
        </w:r>
      </w:hyperlink>
      <w:r>
        <w:rPr>
          <w:lang w:val="es_ES" w:bidi="es_ES"/>
        </w:rPr>
        <w:t>,</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2:7</w:t>
        </w:r>
      </w:hyperlink>
      <w:r>
        <w:rPr>
          <w:lang w:val="es_ES" w:bidi="es_ES"/>
        </w:rPr>
        <w:t>,</w:t>
      </w:r>
      <w:hyperlink r:id="rId19">
        <w:r>
          <w:rPr>
            <w:lang w:val="es_ES" w:bidi="es_ES"/>
          </w:rPr>
          <w:rPr>
            <w:color w:val="0000EE"/>
            <w:u w:val="single"/>
          </w:rPr>
          <w:t>9</w:t>
        </w:r>
      </w:hyperlink>
      <w:r>
        <w:rPr>
          <w:lang w:val="es_ES" w:bidi="es_ES"/>
        </w:rPr>
        <w:t>); estas descripciones sugieren fuertemente a Salomón. Su discurso está enmarcado por los comentarios de apertura y cierre de un editor (</w:t>
      </w:r>
      <w:hyperlink r:id="rId13">
        <w:r>
          <w:rPr>
            <w:lang w:val="es_ES" w:bidi="es_ES"/>
          </w:rPr>
          <w:rPr>
            <w:color w:val="0000EE"/>
            <w:u w:val="single"/>
          </w:rPr>
          <w:t>1:1,</w:t>
        </w:r>
      </w:hyperlink>
      <w:r>
        <w:rPr>
          <w:lang w:val="es_ES" w:bidi="es_ES"/>
        </w:rPr>
        <w:t xml:space="preserve"> </w:t>
      </w:r>
      <w:hyperlink r:id="rId14">
        <w:r>
          <w:rPr>
            <w:lang w:val="es_ES" w:bidi="es_ES"/>
          </w:rPr>
          <w:rPr>
            <w:color w:val="0000EE"/>
            <w:u w:val="single"/>
          </w:rPr>
          <w:t>12:9–14</w:t>
        </w:r>
      </w:hyperlink>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hyperlink r:id="rId20">
        <w:r>
          <w:rPr>
            <w:lang w:val="es_ES" w:bidi="es_ES"/>
          </w:rPr>
          <w:rPr>
            <w:color w:val="0000EE"/>
            <w:u w:val="single"/>
          </w:rPr>
          <w:t>2 Cro 5:2–7:7</w:t>
        </w:r>
      </w:hyperlink>
      <w:r>
        <w:rPr>
          <w:lang w:val="es_ES" w:bidi="es_ES"/>
        </w:rPr>
        <w:t>). También se nos informa que muchos reyes y embajadores acudieron a escuchar a Salomón debido a su sabiduría (</w:t>
      </w:r>
      <w:hyperlink r:id="rId21">
        <w:r>
          <w:rPr>
            <w:lang w:val="es_ES" w:bidi="es_ES"/>
          </w:rPr>
          <w:rPr>
            <w:color w:val="0000EE"/>
            <w:u w:val="single"/>
          </w:rPr>
          <w:t>1 Re 4:34,</w:t>
        </w:r>
      </w:hyperlink>
      <w:r>
        <w:rPr>
          <w:lang w:val="es_ES" w:bidi="es_ES"/>
        </w:rPr>
        <w:t xml:space="preserve"> </w:t>
      </w:r>
      <w:hyperlink r:id="rId22">
        <w:r>
          <w:rPr>
            <w:lang w:val="es_ES" w:bidi="es_ES"/>
          </w:rPr>
          <w:rPr>
            <w:color w:val="0000EE"/>
            <w:u w:val="single"/>
          </w:rPr>
          <w:t>10:23–24</w:t>
        </w:r>
      </w:hyperlink>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5">
        <w:r>
          <w:rPr>
            <w:lang w:val="es_ES" w:bidi="es_ES"/>
          </w:rPr>
          <w:rPr>
            <w:color w:val="0000EE"/>
            <w:u w:val="single"/>
          </w:rPr>
          <w:t>12:13–14</w:t>
        </w:r>
      </w:hyperlink>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